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41" w:rsidRPr="00D97163" w:rsidRDefault="00872041" w:rsidP="00872041">
      <w:pPr>
        <w:spacing w:line="240" w:lineRule="auto"/>
        <w:ind w:firstLine="0"/>
        <w:rPr>
          <w:rFonts w:eastAsia="Calibri" w:cs="Times New Roman"/>
          <w:caps/>
          <w:szCs w:val="24"/>
        </w:rPr>
      </w:pPr>
      <w:bookmarkStart w:id="0" w:name="_GoBack"/>
      <w:bookmarkEnd w:id="0"/>
      <w:r w:rsidRPr="00D97163">
        <w:rPr>
          <w:rFonts w:eastAsia="Calibri" w:cs="Times New Roman"/>
          <w:b/>
          <w:caps/>
          <w:szCs w:val="24"/>
        </w:rPr>
        <w:t>Оценка сейсмостойкости зданий с учетом</w:t>
      </w:r>
      <w:r>
        <w:rPr>
          <w:rFonts w:eastAsia="Calibri" w:cs="Times New Roman"/>
          <w:b/>
          <w:caps/>
          <w:szCs w:val="24"/>
        </w:rPr>
        <w:br/>
      </w:r>
      <w:r w:rsidRPr="00D97163">
        <w:rPr>
          <w:rFonts w:eastAsia="Calibri" w:cs="Times New Roman"/>
          <w:b/>
          <w:caps/>
          <w:szCs w:val="24"/>
        </w:rPr>
        <w:t>дифференцированных характеристик предельных состояний конструктивных элементов и узлов</w:t>
      </w:r>
    </w:p>
    <w:p w:rsidR="00872041" w:rsidRPr="00D97163" w:rsidRDefault="00872041" w:rsidP="00872041">
      <w:pPr>
        <w:spacing w:line="240" w:lineRule="auto"/>
        <w:ind w:firstLine="0"/>
        <w:jc w:val="center"/>
        <w:rPr>
          <w:rFonts w:eastAsia="Calibri" w:cs="Times New Roman"/>
          <w:caps/>
          <w:szCs w:val="24"/>
        </w:rPr>
      </w:pPr>
    </w:p>
    <w:p w:rsidR="00872041" w:rsidRPr="001F39EF" w:rsidRDefault="00872041" w:rsidP="00872041">
      <w:pPr>
        <w:spacing w:line="240" w:lineRule="auto"/>
        <w:ind w:firstLine="0"/>
        <w:jc w:val="left"/>
        <w:rPr>
          <w:rFonts w:eastAsia="Calibri" w:cs="Times New Roman"/>
          <w:b/>
          <w:szCs w:val="24"/>
        </w:rPr>
      </w:pPr>
      <w:r w:rsidRPr="001F39EF">
        <w:rPr>
          <w:rFonts w:eastAsia="Calibri" w:cs="Times New Roman"/>
          <w:b/>
          <w:szCs w:val="24"/>
        </w:rPr>
        <w:t xml:space="preserve">Кабанцев О.В., Умаров К.И., </w:t>
      </w:r>
    </w:p>
    <w:p w:rsidR="00872041" w:rsidRPr="001F39EF" w:rsidRDefault="00872041" w:rsidP="00872041">
      <w:pPr>
        <w:spacing w:line="240" w:lineRule="auto"/>
        <w:ind w:firstLine="0"/>
        <w:jc w:val="left"/>
        <w:rPr>
          <w:rFonts w:eastAsia="Calibri" w:cs="Times New Roman"/>
          <w:b/>
          <w:szCs w:val="24"/>
          <w:lang w:val="en-US"/>
        </w:rPr>
      </w:pPr>
      <w:r w:rsidRPr="001F39EF">
        <w:rPr>
          <w:rFonts w:eastAsia="Calibri" w:cs="Times New Roman"/>
          <w:b/>
          <w:szCs w:val="24"/>
          <w:lang w:val="en-US"/>
        </w:rPr>
        <w:t>Kabancev O.V., Umarov K.I.</w:t>
      </w:r>
    </w:p>
    <w:p w:rsidR="00872041" w:rsidRPr="001F39EF" w:rsidRDefault="00872041" w:rsidP="00872041">
      <w:pPr>
        <w:spacing w:line="240" w:lineRule="auto"/>
        <w:ind w:firstLine="0"/>
        <w:jc w:val="left"/>
        <w:rPr>
          <w:rFonts w:eastAsia="Calibri" w:cs="Times New Roman"/>
          <w:b/>
          <w:szCs w:val="24"/>
          <w:lang w:val="en-US"/>
        </w:rPr>
      </w:pPr>
    </w:p>
    <w:p w:rsidR="00872041" w:rsidRPr="00317C78" w:rsidRDefault="00872041" w:rsidP="00872041">
      <w:pPr>
        <w:spacing w:line="240" w:lineRule="auto"/>
        <w:ind w:firstLine="0"/>
        <w:rPr>
          <w:rFonts w:eastAsia="Calibri" w:cs="Times New Roman"/>
          <w:szCs w:val="24"/>
        </w:rPr>
      </w:pPr>
      <w:r w:rsidRPr="00317C78">
        <w:rPr>
          <w:rFonts w:eastAsia="Calibri" w:cs="Times New Roman"/>
          <w:szCs w:val="24"/>
        </w:rPr>
        <w:t>Московский государственный строительный университет (НИУ МГСУ)</w:t>
      </w:r>
    </w:p>
    <w:p w:rsidR="00872041" w:rsidRPr="00317C78" w:rsidRDefault="00872041" w:rsidP="00872041">
      <w:pPr>
        <w:spacing w:line="240" w:lineRule="auto"/>
        <w:ind w:firstLine="0"/>
        <w:rPr>
          <w:rFonts w:eastAsia="Calibri" w:cs="Times New Roman"/>
          <w:szCs w:val="24"/>
          <w:lang w:val="en-US"/>
        </w:rPr>
      </w:pPr>
      <w:r w:rsidRPr="00317C78">
        <w:rPr>
          <w:rFonts w:eastAsia="Calibri" w:cs="Times New Roman"/>
          <w:szCs w:val="24"/>
          <w:lang w:val="uk-UA"/>
        </w:rPr>
        <w:t>Moscow</w:t>
      </w:r>
      <w:r w:rsidRPr="00317C78">
        <w:rPr>
          <w:rFonts w:eastAsia="Calibri" w:cs="Times New Roman"/>
          <w:szCs w:val="24"/>
          <w:lang w:val="en-US"/>
        </w:rPr>
        <w:t xml:space="preserve"> State</w:t>
      </w:r>
      <w:r w:rsidRPr="00317C78">
        <w:rPr>
          <w:rFonts w:eastAsia="Calibri" w:cs="Times New Roman"/>
          <w:szCs w:val="24"/>
          <w:lang w:val="uk-UA"/>
        </w:rPr>
        <w:t xml:space="preserve"> University </w:t>
      </w:r>
      <w:r w:rsidRPr="00317C78">
        <w:rPr>
          <w:rFonts w:eastAsia="Calibri" w:cs="Times New Roman"/>
          <w:szCs w:val="24"/>
          <w:lang w:val="en-US"/>
        </w:rPr>
        <w:t xml:space="preserve">of </w:t>
      </w:r>
      <w:r w:rsidRPr="00317C78">
        <w:rPr>
          <w:rFonts w:eastAsia="Calibri" w:cs="Times New Roman"/>
          <w:szCs w:val="24"/>
          <w:lang w:val="uk-UA"/>
        </w:rPr>
        <w:t>Civil Engineering</w:t>
      </w:r>
    </w:p>
    <w:p w:rsidR="00872041" w:rsidRPr="00317C78" w:rsidRDefault="00872041" w:rsidP="00872041">
      <w:pPr>
        <w:spacing w:line="240" w:lineRule="auto"/>
        <w:ind w:firstLine="0"/>
        <w:rPr>
          <w:rFonts w:eastAsia="Calibri" w:cs="Times New Roman"/>
          <w:szCs w:val="24"/>
          <w:lang w:val="en-US"/>
        </w:rPr>
      </w:pPr>
      <w:r w:rsidRPr="00317C78">
        <w:rPr>
          <w:rFonts w:eastAsia="Calibri" w:cs="Times New Roman"/>
          <w:szCs w:val="24"/>
          <w:lang w:val="en-US"/>
        </w:rPr>
        <w:t xml:space="preserve">E-mail: ovk531@gmail.com, </w:t>
      </w:r>
      <w:hyperlink r:id="rId8" w:history="1">
        <w:r w:rsidRPr="00317C78">
          <w:rPr>
            <w:rFonts w:eastAsia="Calibri" w:cs="Times New Roman"/>
            <w:szCs w:val="24"/>
            <w:lang w:val="en-US"/>
          </w:rPr>
          <w:t>Karom_Umarov@list.ru</w:t>
        </w:r>
      </w:hyperlink>
    </w:p>
    <w:p w:rsidR="00872041" w:rsidRDefault="00872041" w:rsidP="00872041">
      <w:pPr>
        <w:spacing w:line="240" w:lineRule="auto"/>
        <w:ind w:firstLine="0"/>
        <w:jc w:val="center"/>
        <w:rPr>
          <w:rFonts w:eastAsia="Calibri" w:cs="Times New Roman"/>
          <w:b/>
          <w:i/>
          <w:szCs w:val="24"/>
          <w:lang w:val="en-US"/>
        </w:rPr>
      </w:pPr>
    </w:p>
    <w:p w:rsidR="00872041" w:rsidRPr="00290D57" w:rsidRDefault="00872041" w:rsidP="00872041">
      <w:pPr>
        <w:widowControl w:val="0"/>
        <w:spacing w:line="240" w:lineRule="auto"/>
        <w:ind w:firstLine="0"/>
        <w:rPr>
          <w:rFonts w:eastAsia="Times New Roman"/>
          <w:b/>
          <w:snapToGrid w:val="0"/>
          <w:sz w:val="28"/>
          <w:szCs w:val="28"/>
          <w:shd w:val="clear" w:color="auto" w:fill="FFFFFF"/>
        </w:rPr>
      </w:pPr>
      <w:r w:rsidRPr="00290D57">
        <w:rPr>
          <w:rFonts w:eastAsia="Times New Roman"/>
          <w:b/>
          <w:snapToGrid w:val="0"/>
          <w:sz w:val="28"/>
          <w:szCs w:val="28"/>
          <w:shd w:val="clear" w:color="auto" w:fill="FFFFFF"/>
          <w:lang w:val="en-US"/>
        </w:rPr>
        <w:t>DOI</w:t>
      </w:r>
      <w:r w:rsidRPr="006171FB">
        <w:rPr>
          <w:rFonts w:eastAsia="Times New Roman"/>
          <w:b/>
          <w:snapToGrid w:val="0"/>
          <w:sz w:val="28"/>
          <w:szCs w:val="28"/>
          <w:shd w:val="clear" w:color="auto" w:fill="FFFFFF"/>
        </w:rPr>
        <w:t xml:space="preserve"> </w:t>
      </w:r>
      <w:r w:rsidR="00A9130E">
        <w:rPr>
          <w:rFonts w:eastAsia="Times New Roman"/>
          <w:b/>
          <w:snapToGrid w:val="0"/>
          <w:sz w:val="28"/>
          <w:szCs w:val="28"/>
          <w:shd w:val="clear" w:color="auto" w:fill="FFFFFF"/>
        </w:rPr>
        <w:t>10.37153</w:t>
      </w:r>
      <w:r w:rsidRPr="006171FB">
        <w:rPr>
          <w:rFonts w:eastAsia="Times New Roman"/>
          <w:b/>
          <w:snapToGrid w:val="0"/>
          <w:sz w:val="28"/>
          <w:szCs w:val="28"/>
          <w:shd w:val="clear" w:color="auto" w:fill="FFFFFF"/>
        </w:rPr>
        <w:t>/2686-</w:t>
      </w:r>
      <w:r w:rsidRPr="00290D57">
        <w:rPr>
          <w:b/>
          <w:sz w:val="28"/>
          <w:szCs w:val="28"/>
        </w:rPr>
        <w:t>0045</w:t>
      </w:r>
      <w:r w:rsidRPr="006171FB">
        <w:rPr>
          <w:rFonts w:eastAsia="Times New Roman"/>
          <w:b/>
          <w:snapToGrid w:val="0"/>
          <w:sz w:val="28"/>
          <w:szCs w:val="28"/>
          <w:shd w:val="clear" w:color="auto" w:fill="FFFFFF"/>
        </w:rPr>
        <w:t>-2019-1</w:t>
      </w:r>
      <w:r w:rsidRPr="00290D57">
        <w:rPr>
          <w:rFonts w:eastAsia="Times New Roman"/>
          <w:b/>
          <w:snapToGrid w:val="0"/>
          <w:sz w:val="28"/>
          <w:szCs w:val="28"/>
          <w:shd w:val="clear" w:color="auto" w:fill="FFFFFF"/>
        </w:rPr>
        <w:t>3</w:t>
      </w:r>
      <w:r w:rsidRPr="006171FB">
        <w:rPr>
          <w:rFonts w:eastAsia="Times New Roman"/>
          <w:b/>
          <w:snapToGrid w:val="0"/>
          <w:sz w:val="28"/>
          <w:szCs w:val="28"/>
          <w:shd w:val="clear" w:color="auto" w:fill="FFFFFF"/>
        </w:rPr>
        <w:t>-</w:t>
      </w:r>
      <w:r w:rsidRPr="00290D57">
        <w:rPr>
          <w:rFonts w:eastAsia="Times New Roman"/>
          <w:b/>
          <w:snapToGrid w:val="0"/>
          <w:sz w:val="28"/>
          <w:szCs w:val="28"/>
          <w:shd w:val="clear" w:color="auto" w:fill="FFFFFF"/>
        </w:rPr>
        <w:t>6</w:t>
      </w:r>
      <w:r w:rsidRPr="006171FB">
        <w:rPr>
          <w:rFonts w:eastAsia="Times New Roman"/>
          <w:b/>
          <w:snapToGrid w:val="0"/>
          <w:sz w:val="28"/>
          <w:szCs w:val="28"/>
          <w:shd w:val="clear" w:color="auto" w:fill="FFFFFF"/>
        </w:rPr>
        <w:t>-</w:t>
      </w:r>
      <w:r w:rsidRPr="00290D57">
        <w:rPr>
          <w:rFonts w:eastAsia="Times New Roman"/>
          <w:b/>
          <w:snapToGrid w:val="0"/>
          <w:sz w:val="28"/>
          <w:szCs w:val="28"/>
          <w:shd w:val="clear" w:color="auto" w:fill="FFFFFF"/>
        </w:rPr>
        <w:t>10</w:t>
      </w:r>
    </w:p>
    <w:p w:rsidR="00872041" w:rsidRPr="006171FB" w:rsidRDefault="00872041" w:rsidP="00872041">
      <w:pPr>
        <w:spacing w:line="240" w:lineRule="auto"/>
        <w:ind w:firstLine="0"/>
        <w:jc w:val="left"/>
        <w:rPr>
          <w:rFonts w:eastAsia="Calibri" w:cs="Times New Roman"/>
          <w:i/>
          <w:szCs w:val="24"/>
        </w:rPr>
      </w:pPr>
    </w:p>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t>Оценка сейсмостойкости зданий базируется на принципах допущения пластических деформаций конструкций при сейсмических воздействиях. Работа конструкций за пределами упругости (т.е. с реализацией пластической фазы деформирования) учитывается путем введения в методику определения сейсмической нагрузки специального коэффициента, который в отечественных нормах [</w:t>
      </w:r>
      <w:r w:rsidRPr="00D97163">
        <w:rPr>
          <w:rFonts w:eastAsia="Calibri" w:cs="Times New Roman"/>
          <w:szCs w:val="24"/>
        </w:rPr>
        <w:fldChar w:fldCharType="begin"/>
      </w:r>
      <w:r w:rsidRPr="00D97163">
        <w:rPr>
          <w:rFonts w:eastAsia="Calibri" w:cs="Times New Roman"/>
          <w:szCs w:val="24"/>
        </w:rPr>
        <w:instrText xml:space="preserve"> REF _Ref443657287 \r \h </w:instrText>
      </w:r>
      <w:r>
        <w:rPr>
          <w:rFonts w:eastAsia="Calibri" w:cs="Times New Roman"/>
          <w:szCs w:val="24"/>
        </w:rPr>
        <w:instrText xml:space="preserve"> \* MERGEFORMAT </w:instrText>
      </w:r>
      <w:r w:rsidRPr="00D97163">
        <w:rPr>
          <w:rFonts w:eastAsia="Calibri" w:cs="Times New Roman"/>
          <w:szCs w:val="24"/>
        </w:rPr>
      </w:r>
      <w:r w:rsidRPr="00D97163">
        <w:rPr>
          <w:rFonts w:eastAsia="Calibri" w:cs="Times New Roman"/>
          <w:szCs w:val="24"/>
        </w:rPr>
        <w:fldChar w:fldCharType="separate"/>
      </w:r>
      <w:r>
        <w:rPr>
          <w:rFonts w:eastAsia="Calibri" w:cs="Times New Roman"/>
          <w:szCs w:val="24"/>
        </w:rPr>
        <w:t>1</w:t>
      </w:r>
      <w:r w:rsidRPr="00D97163">
        <w:rPr>
          <w:rFonts w:eastAsia="Calibri" w:cs="Times New Roman"/>
          <w:szCs w:val="24"/>
        </w:rPr>
        <w:fldChar w:fldCharType="end"/>
      </w:r>
      <w:r w:rsidRPr="00D97163">
        <w:rPr>
          <w:rFonts w:eastAsia="Calibri" w:cs="Times New Roman"/>
          <w:szCs w:val="24"/>
        </w:rPr>
        <w:t>] имеет наименование «коэффициента допускаемых повреждений» конструкций зданий и сооружений (</w:t>
      </w:r>
      <w:r w:rsidRPr="00D97163">
        <w:rPr>
          <w:rFonts w:eastAsia="Calibri" w:cs="Times New Roman"/>
          <w:i/>
          <w:szCs w:val="24"/>
        </w:rPr>
        <w:t>К</w:t>
      </w:r>
      <w:r w:rsidRPr="00D97163">
        <w:rPr>
          <w:rFonts w:eastAsia="Calibri" w:cs="Times New Roman"/>
          <w:i/>
          <w:szCs w:val="24"/>
          <w:vertAlign w:val="subscript"/>
        </w:rPr>
        <w:t>1</w:t>
      </w:r>
      <w:r w:rsidRPr="00D97163">
        <w:rPr>
          <w:rFonts w:eastAsia="Calibri" w:cs="Times New Roman"/>
          <w:szCs w:val="24"/>
        </w:rPr>
        <w:t xml:space="preserve">), а его величина зависит от уровня допускаемых повреждений, реализуемых несущими конструкциями различного вида. </w:t>
      </w:r>
      <w:r w:rsidRPr="00D97163">
        <w:rPr>
          <w:rFonts w:eastAsia="Calibri" w:cs="Times New Roman"/>
          <w:szCs w:val="24"/>
          <w:lang w:val="en-US"/>
        </w:rPr>
        <w:t>Eurocode</w:t>
      </w:r>
      <w:r w:rsidRPr="00D97163">
        <w:rPr>
          <w:rFonts w:eastAsia="Calibri" w:cs="Times New Roman"/>
          <w:szCs w:val="24"/>
        </w:rPr>
        <w:t xml:space="preserve"> 8 [</w:t>
      </w:r>
      <w:r w:rsidRPr="00D97163">
        <w:rPr>
          <w:rFonts w:eastAsia="Calibri" w:cs="Times New Roman"/>
          <w:szCs w:val="24"/>
        </w:rPr>
        <w:fldChar w:fldCharType="begin"/>
      </w:r>
      <w:r w:rsidRPr="00D97163">
        <w:rPr>
          <w:rFonts w:eastAsia="Calibri" w:cs="Times New Roman"/>
          <w:szCs w:val="24"/>
        </w:rPr>
        <w:instrText xml:space="preserve"> REF _Ref443657297 \r \h </w:instrText>
      </w:r>
      <w:r>
        <w:rPr>
          <w:rFonts w:eastAsia="Calibri" w:cs="Times New Roman"/>
          <w:szCs w:val="24"/>
        </w:rPr>
        <w:instrText xml:space="preserve"> \* MERGEFORMAT </w:instrText>
      </w:r>
      <w:r w:rsidRPr="00D97163">
        <w:rPr>
          <w:rFonts w:eastAsia="Calibri" w:cs="Times New Roman"/>
          <w:szCs w:val="24"/>
        </w:rPr>
      </w:r>
      <w:r w:rsidRPr="00D97163">
        <w:rPr>
          <w:rFonts w:eastAsia="Calibri" w:cs="Times New Roman"/>
          <w:szCs w:val="24"/>
        </w:rPr>
        <w:fldChar w:fldCharType="separate"/>
      </w:r>
      <w:r>
        <w:rPr>
          <w:rFonts w:eastAsia="Calibri" w:cs="Times New Roman"/>
          <w:szCs w:val="24"/>
        </w:rPr>
        <w:t>2</w:t>
      </w:r>
      <w:r w:rsidRPr="00D97163">
        <w:rPr>
          <w:rFonts w:eastAsia="Calibri" w:cs="Times New Roman"/>
          <w:szCs w:val="24"/>
        </w:rPr>
        <w:fldChar w:fldCharType="end"/>
      </w:r>
      <w:r w:rsidRPr="00D97163">
        <w:rPr>
          <w:rFonts w:eastAsia="Calibri" w:cs="Times New Roman"/>
          <w:szCs w:val="24"/>
        </w:rPr>
        <w:t xml:space="preserve">] содержит «коэффициент поведения» конструкции, имеющий аналогичный физический смысл. Величина «коэффициента допускаемых повреждений/поведения» изменяется от нуля до единицы. По существу, величина «коэффициента допускаемых повреждений/поведения» является характеристикой предельного состояния конструкции. </w:t>
      </w:r>
    </w:p>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t>При определении величины коэффициента допускаемых повреждений базируются, как правило, анализе состояния несущих конструкций зданий, получивших повреждения при землетрясениях. Основной целью таких исследований является определение некоторого «допустимого» уровня повреждений конструкций, при котором возможна дальнейшая эксплуатация здания после соответствующего ремонта.</w:t>
      </w:r>
    </w:p>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t>На основе детального анализа пластической работы несущих конструкций при сейсмическом воздействии в [</w:t>
      </w:r>
      <w:r w:rsidRPr="00D97163">
        <w:rPr>
          <w:rFonts w:eastAsia="Calibri" w:cs="Times New Roman"/>
          <w:szCs w:val="24"/>
        </w:rPr>
        <w:fldChar w:fldCharType="begin"/>
      </w:r>
      <w:r w:rsidRPr="00D97163">
        <w:rPr>
          <w:rFonts w:eastAsia="Calibri" w:cs="Times New Roman"/>
          <w:szCs w:val="24"/>
        </w:rPr>
        <w:instrText xml:space="preserve"> REF _Ref10381986 \r \h </w:instrText>
      </w:r>
      <w:r>
        <w:rPr>
          <w:rFonts w:eastAsia="Calibri" w:cs="Times New Roman"/>
          <w:szCs w:val="24"/>
        </w:rPr>
        <w:instrText xml:space="preserve"> \* MERGEFORMAT </w:instrText>
      </w:r>
      <w:r w:rsidRPr="00D97163">
        <w:rPr>
          <w:rFonts w:eastAsia="Calibri" w:cs="Times New Roman"/>
          <w:szCs w:val="24"/>
        </w:rPr>
      </w:r>
      <w:r w:rsidRPr="00D97163">
        <w:rPr>
          <w:rFonts w:eastAsia="Calibri" w:cs="Times New Roman"/>
          <w:szCs w:val="24"/>
        </w:rPr>
        <w:fldChar w:fldCharType="separate"/>
      </w:r>
      <w:r>
        <w:rPr>
          <w:rFonts w:eastAsia="Calibri" w:cs="Times New Roman"/>
          <w:szCs w:val="24"/>
        </w:rPr>
        <w:t>3</w:t>
      </w:r>
      <w:r w:rsidRPr="00D97163">
        <w:rPr>
          <w:rFonts w:eastAsia="Calibri" w:cs="Times New Roman"/>
          <w:szCs w:val="24"/>
        </w:rPr>
        <w:fldChar w:fldCharType="end"/>
      </w:r>
      <w:r w:rsidRPr="00D97163">
        <w:rPr>
          <w:rFonts w:eastAsia="Calibri" w:cs="Times New Roman"/>
          <w:szCs w:val="24"/>
        </w:rPr>
        <w:t>] получена и обоснована зависимость коэффициента допускаемых повреждений сейсмостойких конструкций от предельной пластичности несущих конструкций:</w:t>
      </w:r>
    </w:p>
    <w:tbl>
      <w:tblPr>
        <w:tblW w:w="0" w:type="auto"/>
        <w:tblInd w:w="108" w:type="dxa"/>
        <w:tblLook w:val="04A0" w:firstRow="1" w:lastRow="0" w:firstColumn="1" w:lastColumn="0" w:noHBand="0" w:noVBand="1"/>
      </w:tblPr>
      <w:tblGrid>
        <w:gridCol w:w="7943"/>
        <w:gridCol w:w="1802"/>
      </w:tblGrid>
      <w:tr w:rsidR="00872041" w:rsidRPr="00D97163" w:rsidTr="00960E9C">
        <w:tc>
          <w:tcPr>
            <w:tcW w:w="8109" w:type="dxa"/>
            <w:shd w:val="clear" w:color="auto" w:fill="auto"/>
          </w:tcPr>
          <w:p w:rsidR="00872041" w:rsidRPr="00D97163" w:rsidRDefault="00872041" w:rsidP="00960E9C">
            <w:pPr>
              <w:spacing w:line="240" w:lineRule="auto"/>
              <w:ind w:left="32" w:firstLine="567"/>
              <w:jc w:val="center"/>
              <w:rPr>
                <w:rFonts w:eastAsia="Calibri" w:cs="Times New Roman"/>
                <w:i/>
                <w:szCs w:val="24"/>
                <w:lang w:val="en-US"/>
              </w:rPr>
            </w:pPr>
            <w:r w:rsidRPr="00D97163">
              <w:rPr>
                <w:rFonts w:eastAsia="Calibri" w:cs="Times New Roman"/>
                <w:i/>
                <w:position w:val="-32"/>
                <w:szCs w:val="24"/>
                <w:lang w:val="en-US"/>
              </w:rPr>
              <w:object w:dxaOrig="135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pt" o:ole="">
                  <v:imagedata r:id="rId9" o:title=""/>
                </v:shape>
                <o:OLEObject Type="Embed" ProgID="Equation.DSMT4" ShapeID="_x0000_i1025" DrawAspect="Content" ObjectID="_1682426898" r:id="rId10"/>
              </w:object>
            </w:r>
            <w:r w:rsidRPr="00D97163">
              <w:rPr>
                <w:rFonts w:eastAsia="Calibri" w:cs="Times New Roman"/>
                <w:i/>
                <w:szCs w:val="24"/>
                <w:lang w:val="en-US"/>
              </w:rPr>
              <w:t xml:space="preserve"> </w:t>
            </w:r>
          </w:p>
        </w:tc>
        <w:tc>
          <w:tcPr>
            <w:tcW w:w="1836" w:type="dxa"/>
            <w:shd w:val="clear" w:color="auto" w:fill="auto"/>
          </w:tcPr>
          <w:p w:rsidR="00872041" w:rsidRPr="00D97163" w:rsidRDefault="00872041" w:rsidP="00960E9C">
            <w:pPr>
              <w:spacing w:line="240" w:lineRule="auto"/>
              <w:ind w:firstLine="567"/>
              <w:rPr>
                <w:rFonts w:eastAsia="Calibri" w:cs="Times New Roman"/>
                <w:szCs w:val="24"/>
                <w:lang w:val="en-US"/>
              </w:rPr>
            </w:pPr>
            <w:r w:rsidRPr="00D97163">
              <w:rPr>
                <w:rFonts w:eastAsia="Calibri" w:cs="Times New Roman"/>
                <w:szCs w:val="24"/>
                <w:lang w:val="en-US"/>
              </w:rPr>
              <w:t>(</w:t>
            </w:r>
            <w:r w:rsidRPr="00D97163">
              <w:rPr>
                <w:rFonts w:eastAsia="Calibri" w:cs="Times New Roman"/>
                <w:szCs w:val="24"/>
              </w:rPr>
              <w:t>1</w:t>
            </w:r>
            <w:r w:rsidRPr="00D97163">
              <w:rPr>
                <w:rFonts w:eastAsia="Calibri" w:cs="Times New Roman"/>
                <w:szCs w:val="24"/>
                <w:lang w:val="en-US"/>
              </w:rPr>
              <w:t>)</w:t>
            </w:r>
          </w:p>
        </w:tc>
      </w:tr>
    </w:tbl>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t xml:space="preserve">где </w:t>
      </w:r>
      <w:r w:rsidRPr="00D97163">
        <w:rPr>
          <w:rFonts w:eastAsia="Calibri" w:cs="Times New Roman"/>
          <w:i/>
          <w:szCs w:val="24"/>
        </w:rPr>
        <w:t>μ</w:t>
      </w:r>
      <w:r w:rsidRPr="00D97163">
        <w:rPr>
          <w:rFonts w:eastAsia="Calibri" w:cs="Times New Roman"/>
          <w:szCs w:val="24"/>
        </w:rPr>
        <w:t xml:space="preserve"> – предельный коэффициент пластичности.</w:t>
      </w:r>
    </w:p>
    <w:p w:rsidR="00872041" w:rsidRPr="00D97163" w:rsidRDefault="00872041" w:rsidP="00872041">
      <w:pPr>
        <w:spacing w:line="240" w:lineRule="auto"/>
        <w:ind w:firstLine="567"/>
        <w:rPr>
          <w:rFonts w:eastAsia="Calibri" w:cs="Times New Roman"/>
          <w:i/>
          <w:szCs w:val="24"/>
          <w:lang w:val="en-US"/>
        </w:rPr>
      </w:pPr>
      <w:r w:rsidRPr="00D97163">
        <w:rPr>
          <w:rFonts w:eastAsia="Calibri" w:cs="Times New Roman"/>
          <w:i/>
          <w:position w:val="-30"/>
          <w:szCs w:val="24"/>
          <w:lang w:val="en-US"/>
        </w:rPr>
        <w:object w:dxaOrig="800" w:dyaOrig="680">
          <v:shape id="_x0000_i1026" type="#_x0000_t75" style="width:46.5pt;height:40.5pt" o:ole="">
            <v:imagedata r:id="rId11" o:title=""/>
          </v:shape>
          <o:OLEObject Type="Embed" ProgID="Equation.DSMT4" ShapeID="_x0000_i1026" DrawAspect="Content" ObjectID="_1682426899" r:id="rId12"/>
        </w:object>
      </w:r>
    </w:p>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t xml:space="preserve">где </w:t>
      </w:r>
      <w:r w:rsidRPr="00D97163">
        <w:rPr>
          <w:rFonts w:eastAsia="Calibri" w:cs="Times New Roman"/>
          <w:i/>
          <w:szCs w:val="24"/>
        </w:rPr>
        <w:t>ε</w:t>
      </w:r>
      <w:r w:rsidRPr="00D97163">
        <w:rPr>
          <w:rFonts w:eastAsia="Calibri" w:cs="Times New Roman"/>
          <w:i/>
          <w:szCs w:val="24"/>
          <w:vertAlign w:val="subscript"/>
          <w:lang w:val="en-US"/>
        </w:rPr>
        <w:t>tot</w:t>
      </w:r>
      <w:r w:rsidRPr="00D97163">
        <w:rPr>
          <w:rFonts w:eastAsia="Calibri" w:cs="Times New Roman"/>
          <w:szCs w:val="24"/>
        </w:rPr>
        <w:t xml:space="preserve"> –полная величина упругопластических относительных деформаций;</w:t>
      </w:r>
    </w:p>
    <w:p w:rsidR="00872041" w:rsidRPr="00D97163" w:rsidRDefault="00872041" w:rsidP="00872041">
      <w:pPr>
        <w:spacing w:line="240" w:lineRule="auto"/>
        <w:ind w:firstLine="567"/>
        <w:rPr>
          <w:rFonts w:eastAsia="Calibri" w:cs="Times New Roman"/>
          <w:szCs w:val="24"/>
        </w:rPr>
      </w:pPr>
      <w:r w:rsidRPr="00D97163">
        <w:rPr>
          <w:rFonts w:eastAsia="Calibri" w:cs="Times New Roman"/>
          <w:i/>
          <w:szCs w:val="24"/>
        </w:rPr>
        <w:t>ε</w:t>
      </w:r>
      <w:r w:rsidRPr="00D97163">
        <w:rPr>
          <w:rFonts w:eastAsia="Calibri" w:cs="Times New Roman"/>
          <w:i/>
          <w:szCs w:val="24"/>
          <w:vertAlign w:val="subscript"/>
          <w:lang w:val="en-US"/>
        </w:rPr>
        <w:t>el</w:t>
      </w:r>
      <w:r w:rsidRPr="00D97163">
        <w:rPr>
          <w:rFonts w:eastAsia="Calibri" w:cs="Times New Roman"/>
          <w:szCs w:val="24"/>
        </w:rPr>
        <w:t xml:space="preserve"> –</w:t>
      </w:r>
      <w:r w:rsidRPr="00D97163">
        <w:rPr>
          <w:rFonts w:ascii="Calibri" w:eastAsia="Calibri" w:hAnsi="Calibri" w:cs="Times New Roman"/>
          <w:szCs w:val="24"/>
        </w:rPr>
        <w:t xml:space="preserve"> </w:t>
      </w:r>
      <w:r w:rsidRPr="00D97163">
        <w:rPr>
          <w:rFonts w:eastAsia="Calibri" w:cs="Times New Roman"/>
          <w:szCs w:val="24"/>
        </w:rPr>
        <w:t>величина упругих относительных деформаций.</w:t>
      </w:r>
    </w:p>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t>Необходимо подчеркнуть, что величина коэффициента допускаемых повреждений в действующих нормах принимается единой для всей несущей системы, что входит в противоречие как с наблюдаемой сейсмической реакцией зданий при реальных сейсмических воздействиях [</w:t>
      </w:r>
      <w:r w:rsidRPr="00D97163">
        <w:rPr>
          <w:rFonts w:eastAsia="Calibri" w:cs="Times New Roman"/>
          <w:szCs w:val="24"/>
        </w:rPr>
        <w:fldChar w:fldCharType="begin"/>
      </w:r>
      <w:r w:rsidRPr="00D97163">
        <w:rPr>
          <w:rFonts w:eastAsia="Calibri" w:cs="Times New Roman"/>
          <w:szCs w:val="24"/>
        </w:rPr>
        <w:instrText xml:space="preserve"> REF _Ref10382153 \r \h </w:instrText>
      </w:r>
      <w:r>
        <w:rPr>
          <w:rFonts w:eastAsia="Calibri" w:cs="Times New Roman"/>
          <w:szCs w:val="24"/>
        </w:rPr>
        <w:instrText xml:space="preserve"> \* MERGEFORMAT </w:instrText>
      </w:r>
      <w:r w:rsidRPr="00D97163">
        <w:rPr>
          <w:rFonts w:eastAsia="Calibri" w:cs="Times New Roman"/>
          <w:szCs w:val="24"/>
        </w:rPr>
      </w:r>
      <w:r w:rsidRPr="00D97163">
        <w:rPr>
          <w:rFonts w:eastAsia="Calibri" w:cs="Times New Roman"/>
          <w:szCs w:val="24"/>
        </w:rPr>
        <w:fldChar w:fldCharType="separate"/>
      </w:r>
      <w:r>
        <w:rPr>
          <w:rFonts w:eastAsia="Calibri" w:cs="Times New Roman"/>
          <w:szCs w:val="24"/>
        </w:rPr>
        <w:t>4</w:t>
      </w:r>
      <w:r w:rsidRPr="00D97163">
        <w:rPr>
          <w:rFonts w:eastAsia="Calibri" w:cs="Times New Roman"/>
          <w:szCs w:val="24"/>
        </w:rPr>
        <w:fldChar w:fldCharType="end"/>
      </w:r>
      <w:r w:rsidRPr="00D97163">
        <w:rPr>
          <w:rFonts w:eastAsia="Calibri" w:cs="Times New Roman"/>
          <w:szCs w:val="24"/>
        </w:rPr>
        <w:t xml:space="preserve">, </w:t>
      </w:r>
      <w:r w:rsidRPr="00D97163">
        <w:rPr>
          <w:rFonts w:eastAsia="Calibri" w:cs="Times New Roman"/>
          <w:szCs w:val="24"/>
        </w:rPr>
        <w:fldChar w:fldCharType="begin"/>
      </w:r>
      <w:r w:rsidRPr="00D97163">
        <w:rPr>
          <w:rFonts w:eastAsia="Calibri" w:cs="Times New Roman"/>
          <w:szCs w:val="24"/>
        </w:rPr>
        <w:instrText xml:space="preserve"> REF _Ref404948285 \r \h </w:instrText>
      </w:r>
      <w:r>
        <w:rPr>
          <w:rFonts w:eastAsia="Calibri" w:cs="Times New Roman"/>
          <w:szCs w:val="24"/>
        </w:rPr>
        <w:instrText xml:space="preserve"> \* MERGEFORMAT </w:instrText>
      </w:r>
      <w:r w:rsidRPr="00D97163">
        <w:rPr>
          <w:rFonts w:eastAsia="Calibri" w:cs="Times New Roman"/>
          <w:szCs w:val="24"/>
        </w:rPr>
      </w:r>
      <w:r w:rsidRPr="00D97163">
        <w:rPr>
          <w:rFonts w:eastAsia="Calibri" w:cs="Times New Roman"/>
          <w:szCs w:val="24"/>
        </w:rPr>
        <w:fldChar w:fldCharType="separate"/>
      </w:r>
      <w:r>
        <w:rPr>
          <w:rFonts w:eastAsia="Calibri" w:cs="Times New Roman"/>
          <w:szCs w:val="24"/>
        </w:rPr>
        <w:t>5</w:t>
      </w:r>
      <w:r w:rsidRPr="00D97163">
        <w:rPr>
          <w:rFonts w:eastAsia="Calibri" w:cs="Times New Roman"/>
          <w:szCs w:val="24"/>
        </w:rPr>
        <w:fldChar w:fldCharType="end"/>
      </w:r>
      <w:r w:rsidRPr="00D97163">
        <w:rPr>
          <w:rFonts w:eastAsia="Calibri" w:cs="Times New Roman"/>
          <w:szCs w:val="24"/>
        </w:rPr>
        <w:t xml:space="preserve">, </w:t>
      </w:r>
      <w:r w:rsidRPr="00D97163">
        <w:rPr>
          <w:rFonts w:eastAsia="Calibri" w:cs="Times New Roman"/>
          <w:szCs w:val="24"/>
        </w:rPr>
        <w:fldChar w:fldCharType="begin"/>
      </w:r>
      <w:r w:rsidRPr="00D97163">
        <w:rPr>
          <w:rFonts w:eastAsia="Calibri" w:cs="Times New Roman"/>
          <w:szCs w:val="24"/>
        </w:rPr>
        <w:instrText xml:space="preserve"> REF _Ref430859683 \r \h </w:instrText>
      </w:r>
      <w:r>
        <w:rPr>
          <w:rFonts w:eastAsia="Calibri" w:cs="Times New Roman"/>
          <w:szCs w:val="24"/>
        </w:rPr>
        <w:instrText xml:space="preserve"> \* MERGEFORMAT </w:instrText>
      </w:r>
      <w:r w:rsidRPr="00D97163">
        <w:rPr>
          <w:rFonts w:eastAsia="Calibri" w:cs="Times New Roman"/>
          <w:szCs w:val="24"/>
        </w:rPr>
      </w:r>
      <w:r w:rsidRPr="00D97163">
        <w:rPr>
          <w:rFonts w:eastAsia="Calibri" w:cs="Times New Roman"/>
          <w:szCs w:val="24"/>
        </w:rPr>
        <w:fldChar w:fldCharType="separate"/>
      </w:r>
      <w:r>
        <w:rPr>
          <w:rFonts w:eastAsia="Calibri" w:cs="Times New Roman"/>
          <w:szCs w:val="24"/>
        </w:rPr>
        <w:t>6</w:t>
      </w:r>
      <w:r w:rsidRPr="00D97163">
        <w:rPr>
          <w:rFonts w:eastAsia="Calibri" w:cs="Times New Roman"/>
          <w:szCs w:val="24"/>
        </w:rPr>
        <w:fldChar w:fldCharType="end"/>
      </w:r>
      <w:r w:rsidRPr="00D97163">
        <w:rPr>
          <w:rFonts w:eastAsia="Calibri" w:cs="Times New Roman"/>
          <w:szCs w:val="24"/>
        </w:rPr>
        <w:t xml:space="preserve">, </w:t>
      </w:r>
      <w:r w:rsidRPr="00D97163">
        <w:rPr>
          <w:rFonts w:eastAsia="Calibri" w:cs="Times New Roman"/>
          <w:szCs w:val="24"/>
        </w:rPr>
        <w:fldChar w:fldCharType="begin"/>
      </w:r>
      <w:r w:rsidRPr="00D97163">
        <w:rPr>
          <w:rFonts w:eastAsia="Calibri" w:cs="Times New Roman"/>
          <w:szCs w:val="24"/>
        </w:rPr>
        <w:instrText xml:space="preserve"> REF _Ref443915035 \r \h </w:instrText>
      </w:r>
      <w:r>
        <w:rPr>
          <w:rFonts w:eastAsia="Calibri" w:cs="Times New Roman"/>
          <w:szCs w:val="24"/>
        </w:rPr>
        <w:instrText xml:space="preserve"> \* MERGEFORMAT </w:instrText>
      </w:r>
      <w:r w:rsidRPr="00D97163">
        <w:rPr>
          <w:rFonts w:eastAsia="Calibri" w:cs="Times New Roman"/>
          <w:szCs w:val="24"/>
        </w:rPr>
      </w:r>
      <w:r w:rsidRPr="00D97163">
        <w:rPr>
          <w:rFonts w:eastAsia="Calibri" w:cs="Times New Roman"/>
          <w:szCs w:val="24"/>
        </w:rPr>
        <w:fldChar w:fldCharType="separate"/>
      </w:r>
      <w:r>
        <w:rPr>
          <w:rFonts w:eastAsia="Calibri" w:cs="Times New Roman"/>
          <w:szCs w:val="24"/>
        </w:rPr>
        <w:t>7</w:t>
      </w:r>
      <w:r w:rsidRPr="00D97163">
        <w:rPr>
          <w:rFonts w:eastAsia="Calibri" w:cs="Times New Roman"/>
          <w:szCs w:val="24"/>
        </w:rPr>
        <w:fldChar w:fldCharType="end"/>
      </w:r>
      <w:r w:rsidRPr="00D97163">
        <w:rPr>
          <w:rFonts w:eastAsia="Calibri" w:cs="Times New Roman"/>
          <w:szCs w:val="24"/>
        </w:rPr>
        <w:t>], так и с принципиальными положениями федерального закона [</w:t>
      </w:r>
      <w:r w:rsidRPr="00D97163">
        <w:rPr>
          <w:rFonts w:eastAsia="Calibri" w:cs="Times New Roman"/>
          <w:szCs w:val="24"/>
        </w:rPr>
        <w:fldChar w:fldCharType="begin"/>
      </w:r>
      <w:r w:rsidRPr="00D97163">
        <w:rPr>
          <w:rFonts w:eastAsia="Calibri" w:cs="Times New Roman"/>
          <w:szCs w:val="24"/>
        </w:rPr>
        <w:instrText xml:space="preserve"> REF _Ref10381405 \r \h </w:instrText>
      </w:r>
      <w:r>
        <w:rPr>
          <w:rFonts w:eastAsia="Calibri" w:cs="Times New Roman"/>
          <w:szCs w:val="24"/>
        </w:rPr>
        <w:instrText xml:space="preserve"> \* MERGEFORMAT </w:instrText>
      </w:r>
      <w:r w:rsidRPr="00D97163">
        <w:rPr>
          <w:rFonts w:eastAsia="Calibri" w:cs="Times New Roman"/>
          <w:szCs w:val="24"/>
        </w:rPr>
      </w:r>
      <w:r w:rsidRPr="00D97163">
        <w:rPr>
          <w:rFonts w:eastAsia="Calibri" w:cs="Times New Roman"/>
          <w:szCs w:val="24"/>
        </w:rPr>
        <w:fldChar w:fldCharType="separate"/>
      </w:r>
      <w:r>
        <w:rPr>
          <w:rFonts w:eastAsia="Calibri" w:cs="Times New Roman"/>
          <w:szCs w:val="24"/>
        </w:rPr>
        <w:t>8</w:t>
      </w:r>
      <w:r w:rsidRPr="00D97163">
        <w:rPr>
          <w:rFonts w:eastAsia="Calibri" w:cs="Times New Roman"/>
          <w:szCs w:val="24"/>
        </w:rPr>
        <w:fldChar w:fldCharType="end"/>
      </w:r>
      <w:r w:rsidRPr="00D97163">
        <w:rPr>
          <w:rFonts w:eastAsia="Calibri" w:cs="Times New Roman"/>
          <w:szCs w:val="24"/>
        </w:rPr>
        <w:t>], которым предусматривается учет различного уровня ответственности не только зданий в целом, но и отдельных конструктивных элементов несущей системы. Для конструктивных элементов, от НДС которых зависит сохранение принятой при проектировании конструктивной схемы, вводятся повышенные (по отношению к иным элементам системы) коэффициенты надежности.</w:t>
      </w:r>
    </w:p>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lastRenderedPageBreak/>
        <w:t>Инженерный анализ последствий землетрясений показывает, что отдельные конструктивные системы демонстрируют более низкий уровень надежности по отношению к другим системам. Так в работе [</w:t>
      </w:r>
      <w:r w:rsidRPr="00D97163">
        <w:rPr>
          <w:rFonts w:eastAsia="Calibri" w:cs="Times New Roman"/>
          <w:szCs w:val="24"/>
          <w:lang w:val="en-US"/>
        </w:rPr>
        <w:fldChar w:fldCharType="begin"/>
      </w:r>
      <w:r w:rsidRPr="00D97163">
        <w:rPr>
          <w:rFonts w:eastAsia="Calibri" w:cs="Times New Roman"/>
          <w:szCs w:val="24"/>
        </w:rPr>
        <w:instrText xml:space="preserve"> </w:instrText>
      </w:r>
      <w:r w:rsidRPr="00D97163">
        <w:rPr>
          <w:rFonts w:eastAsia="Calibri" w:cs="Times New Roman"/>
          <w:szCs w:val="24"/>
          <w:lang w:val="en-US"/>
        </w:rPr>
        <w:instrText>REF</w:instrText>
      </w:r>
      <w:r w:rsidRPr="00D97163">
        <w:rPr>
          <w:rFonts w:eastAsia="Calibri" w:cs="Times New Roman"/>
          <w:szCs w:val="24"/>
        </w:rPr>
        <w:instrText xml:space="preserve"> _</w:instrText>
      </w:r>
      <w:r w:rsidRPr="00D97163">
        <w:rPr>
          <w:rFonts w:eastAsia="Calibri" w:cs="Times New Roman"/>
          <w:szCs w:val="24"/>
          <w:lang w:val="en-US"/>
        </w:rPr>
        <w:instrText>Ref</w:instrText>
      </w:r>
      <w:r w:rsidRPr="00D97163">
        <w:rPr>
          <w:rFonts w:eastAsia="Calibri" w:cs="Times New Roman"/>
          <w:szCs w:val="24"/>
        </w:rPr>
        <w:instrText>10382488 \</w:instrText>
      </w:r>
      <w:r w:rsidRPr="00D97163">
        <w:rPr>
          <w:rFonts w:eastAsia="Calibri" w:cs="Times New Roman"/>
          <w:szCs w:val="24"/>
          <w:lang w:val="en-US"/>
        </w:rPr>
        <w:instrText>r</w:instrText>
      </w:r>
      <w:r w:rsidRPr="00D97163">
        <w:rPr>
          <w:rFonts w:eastAsia="Calibri" w:cs="Times New Roman"/>
          <w:szCs w:val="24"/>
        </w:rPr>
        <w:instrText xml:space="preserve"> \</w:instrText>
      </w:r>
      <w:r w:rsidRPr="00D97163">
        <w:rPr>
          <w:rFonts w:eastAsia="Calibri" w:cs="Times New Roman"/>
          <w:szCs w:val="24"/>
          <w:lang w:val="en-US"/>
        </w:rPr>
        <w:instrText>h</w:instrText>
      </w:r>
      <w:r w:rsidRPr="00D97163">
        <w:rPr>
          <w:rFonts w:eastAsia="Calibri" w:cs="Times New Roman"/>
          <w:szCs w:val="24"/>
        </w:rPr>
        <w:instrText xml:space="preserve">  \* </w:instrText>
      </w:r>
      <w:r>
        <w:rPr>
          <w:rFonts w:eastAsia="Calibri" w:cs="Times New Roman"/>
          <w:szCs w:val="24"/>
          <w:lang w:val="en-US"/>
        </w:rPr>
        <w:instrText>MERGEFORMAT</w:instrText>
      </w:r>
      <w:r w:rsidRPr="00D97163">
        <w:rPr>
          <w:rFonts w:eastAsia="Calibri" w:cs="Times New Roman"/>
          <w:szCs w:val="24"/>
        </w:rPr>
        <w:instrText xml:space="preserve"> </w:instrText>
      </w:r>
      <w:r w:rsidRPr="00D97163">
        <w:rPr>
          <w:rFonts w:eastAsia="Calibri" w:cs="Times New Roman"/>
          <w:szCs w:val="24"/>
          <w:lang w:val="en-US"/>
        </w:rPr>
      </w:r>
      <w:r w:rsidRPr="00D97163">
        <w:rPr>
          <w:rFonts w:eastAsia="Calibri" w:cs="Times New Roman"/>
          <w:szCs w:val="24"/>
          <w:lang w:val="en-US"/>
        </w:rPr>
        <w:fldChar w:fldCharType="separate"/>
      </w:r>
      <w:r w:rsidRPr="006C3D98">
        <w:rPr>
          <w:rFonts w:eastAsia="Calibri" w:cs="Times New Roman"/>
          <w:szCs w:val="24"/>
        </w:rPr>
        <w:t>9</w:t>
      </w:r>
      <w:r w:rsidRPr="00D97163">
        <w:rPr>
          <w:rFonts w:eastAsia="Calibri" w:cs="Times New Roman"/>
          <w:szCs w:val="24"/>
          <w:lang w:val="en-US"/>
        </w:rPr>
        <w:fldChar w:fldCharType="end"/>
      </w:r>
      <w:r w:rsidRPr="00D97163">
        <w:rPr>
          <w:rFonts w:eastAsia="Calibri" w:cs="Times New Roman"/>
          <w:szCs w:val="24"/>
        </w:rPr>
        <w:t xml:space="preserve">] представлен сопоставительный обобщенный анализ сейсмической реакции зданий различных несущих систем, из которого следует, что железобетонные несущие системы рамно-связевой расчетной схемы являются наименее надежными по отношению к иным видам железобетонных систем: при среднем уровне повреждений </w:t>
      </w:r>
      <w:r w:rsidRPr="00D97163">
        <w:rPr>
          <w:rFonts w:eastAsia="Calibri" w:cs="Times New Roman"/>
          <w:i/>
          <w:szCs w:val="24"/>
          <w:lang w:val="en-US"/>
        </w:rPr>
        <w:t>d</w:t>
      </w:r>
      <w:r w:rsidRPr="00D97163">
        <w:rPr>
          <w:rFonts w:eastAsia="Calibri" w:cs="Times New Roman"/>
          <w:i/>
          <w:szCs w:val="24"/>
        </w:rPr>
        <w:t xml:space="preserve"> </w:t>
      </w:r>
      <w:r w:rsidRPr="00D97163">
        <w:rPr>
          <w:rFonts w:eastAsia="Calibri" w:cs="Times New Roman"/>
          <w:szCs w:val="24"/>
        </w:rPr>
        <w:t xml:space="preserve">= 2,3 коэффициент вариации </w:t>
      </w:r>
      <w:r w:rsidRPr="00D97163">
        <w:rPr>
          <w:rFonts w:eastAsia="Calibri" w:cs="Times New Roman"/>
          <w:i/>
          <w:szCs w:val="24"/>
        </w:rPr>
        <w:t>ν</w:t>
      </w:r>
      <w:r w:rsidRPr="00D97163">
        <w:rPr>
          <w:rFonts w:eastAsia="Calibri" w:cs="Times New Roman"/>
          <w:szCs w:val="24"/>
        </w:rPr>
        <w:t xml:space="preserve"> = 0,37. Для сравнения следует привести аналогичные характеристики сейсмической реакции крупнопанельных зданий: </w:t>
      </w:r>
      <w:r w:rsidRPr="00D97163">
        <w:rPr>
          <w:rFonts w:eastAsia="Calibri" w:cs="Times New Roman"/>
          <w:i/>
          <w:szCs w:val="24"/>
          <w:lang w:val="en-US"/>
        </w:rPr>
        <w:t>d</w:t>
      </w:r>
      <w:r w:rsidRPr="00D97163">
        <w:rPr>
          <w:rFonts w:eastAsia="Calibri" w:cs="Times New Roman"/>
          <w:i/>
          <w:szCs w:val="24"/>
        </w:rPr>
        <w:t xml:space="preserve"> </w:t>
      </w:r>
      <w:r w:rsidRPr="00D97163">
        <w:rPr>
          <w:rFonts w:eastAsia="Calibri" w:cs="Times New Roman"/>
          <w:szCs w:val="24"/>
        </w:rPr>
        <w:t xml:space="preserve">= 1,1; </w:t>
      </w:r>
      <w:r w:rsidRPr="00D97163">
        <w:rPr>
          <w:rFonts w:eastAsia="Calibri" w:cs="Times New Roman"/>
          <w:i/>
          <w:szCs w:val="24"/>
        </w:rPr>
        <w:t>ν</w:t>
      </w:r>
      <w:r w:rsidRPr="00D97163">
        <w:rPr>
          <w:rFonts w:eastAsia="Calibri" w:cs="Times New Roman"/>
          <w:szCs w:val="24"/>
        </w:rPr>
        <w:t xml:space="preserve"> = 0,18. Высокое значение коэффициента вариации, демонстрируемый зданиями рамно-связевой конструктивной схемы свидетельствует о существенных отклонениях значений степени повреждения конкретного здания от средней величины. В целом, указанное подтверждается большим объемом повреждений каркасно-панельных зданий в ряде землетрясений, например, при Спитакском землетрясении [</w:t>
      </w:r>
      <w:r w:rsidRPr="00D97163">
        <w:rPr>
          <w:rFonts w:eastAsia="Calibri" w:cs="Times New Roman"/>
          <w:szCs w:val="24"/>
        </w:rPr>
        <w:fldChar w:fldCharType="begin"/>
      </w:r>
      <w:r w:rsidRPr="00D97163">
        <w:rPr>
          <w:rFonts w:eastAsia="Calibri" w:cs="Times New Roman"/>
          <w:szCs w:val="24"/>
        </w:rPr>
        <w:instrText xml:space="preserve"> REF _Ref10383255 \r \h </w:instrText>
      </w:r>
      <w:r>
        <w:rPr>
          <w:rFonts w:eastAsia="Calibri" w:cs="Times New Roman"/>
          <w:szCs w:val="24"/>
        </w:rPr>
        <w:instrText xml:space="preserve"> \* MERGEFORMAT </w:instrText>
      </w:r>
      <w:r w:rsidRPr="00D97163">
        <w:rPr>
          <w:rFonts w:eastAsia="Calibri" w:cs="Times New Roman"/>
          <w:szCs w:val="24"/>
        </w:rPr>
      </w:r>
      <w:r w:rsidRPr="00D97163">
        <w:rPr>
          <w:rFonts w:eastAsia="Calibri" w:cs="Times New Roman"/>
          <w:szCs w:val="24"/>
        </w:rPr>
        <w:fldChar w:fldCharType="separate"/>
      </w:r>
      <w:r>
        <w:rPr>
          <w:rFonts w:eastAsia="Calibri" w:cs="Times New Roman"/>
          <w:szCs w:val="24"/>
        </w:rPr>
        <w:t>10</w:t>
      </w:r>
      <w:r w:rsidRPr="00D97163">
        <w:rPr>
          <w:rFonts w:eastAsia="Calibri" w:cs="Times New Roman"/>
          <w:szCs w:val="24"/>
        </w:rPr>
        <w:fldChar w:fldCharType="end"/>
      </w:r>
      <w:r w:rsidRPr="00D97163">
        <w:rPr>
          <w:rFonts w:eastAsia="Calibri" w:cs="Times New Roman"/>
          <w:szCs w:val="24"/>
        </w:rPr>
        <w:t>].</w:t>
      </w:r>
    </w:p>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t>Анализ формирования НДС рамно-связевых железобетонных несущих систем показывает, что сохранение проектной расчетной схемы обеспечивается работой связевых элементов системы (диафрагм жесткости), которые выполняются в виде сборных или монолитных стен, в том числе стен лестнично-лифтовых блоков.</w:t>
      </w:r>
    </w:p>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t>В рамках проведенных исследований выполнен анализ упруго-пластического деформирования рамно-связевых железобетонных систем различной этажности и различных величин пролетов при действии сейсмической нагрузки различного уровня (см. рис. 1). Исследован процесс формирования и развития пластических деформаций в вертикальных несущих  элементах – колоннах и диафрагмах жесткости. В работах использован метод прямого динамического расчета.</w:t>
      </w:r>
    </w:p>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t>В качестве критериев использованы величины предельных значений деформационных материалов железобетонных конструкций, предложенных и обоснованных в [</w:t>
      </w:r>
      <w:r w:rsidRPr="00D97163">
        <w:rPr>
          <w:rFonts w:eastAsia="Calibri" w:cs="Times New Roman"/>
          <w:szCs w:val="24"/>
        </w:rPr>
        <w:fldChar w:fldCharType="begin"/>
      </w:r>
      <w:r w:rsidRPr="00D97163">
        <w:rPr>
          <w:rFonts w:eastAsia="Calibri" w:cs="Times New Roman"/>
          <w:szCs w:val="24"/>
        </w:rPr>
        <w:instrText xml:space="preserve"> REF _Ref10384450 \r \h </w:instrText>
      </w:r>
      <w:r>
        <w:rPr>
          <w:rFonts w:eastAsia="Calibri" w:cs="Times New Roman"/>
          <w:szCs w:val="24"/>
        </w:rPr>
        <w:instrText xml:space="preserve"> \* MERGEFORMAT </w:instrText>
      </w:r>
      <w:r w:rsidRPr="00D97163">
        <w:rPr>
          <w:rFonts w:eastAsia="Calibri" w:cs="Times New Roman"/>
          <w:szCs w:val="24"/>
        </w:rPr>
      </w:r>
      <w:r w:rsidRPr="00D97163">
        <w:rPr>
          <w:rFonts w:eastAsia="Calibri" w:cs="Times New Roman"/>
          <w:szCs w:val="24"/>
        </w:rPr>
        <w:fldChar w:fldCharType="separate"/>
      </w:r>
      <w:r>
        <w:rPr>
          <w:rFonts w:eastAsia="Calibri" w:cs="Times New Roman"/>
          <w:szCs w:val="24"/>
        </w:rPr>
        <w:t>11</w:t>
      </w:r>
      <w:r w:rsidRPr="00D97163">
        <w:rPr>
          <w:rFonts w:eastAsia="Calibri" w:cs="Times New Roman"/>
          <w:szCs w:val="24"/>
        </w:rPr>
        <w:fldChar w:fldCharType="end"/>
      </w:r>
      <w:r w:rsidRPr="00D97163">
        <w:rPr>
          <w:rFonts w:eastAsia="Calibri" w:cs="Times New Roman"/>
          <w:szCs w:val="24"/>
        </w:rPr>
        <w:t xml:space="preserve">]. </w:t>
      </w:r>
    </w:p>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t xml:space="preserve">По результатам исследований установлено: при сейсмических воздействиях в колоннах предельные величины коэффициента пластичности </w:t>
      </w:r>
      <w:r w:rsidRPr="00D97163">
        <w:rPr>
          <w:rFonts w:eastAsia="Calibri" w:cs="Times New Roman"/>
          <w:i/>
          <w:szCs w:val="24"/>
        </w:rPr>
        <w:t>μ</w:t>
      </w:r>
      <w:r w:rsidRPr="00D97163">
        <w:rPr>
          <w:rFonts w:eastAsia="Calibri" w:cs="Times New Roman"/>
          <w:szCs w:val="24"/>
        </w:rPr>
        <w:t xml:space="preserve"> = 4,0, при котором начинается процесс обрушения, возникают при формировании коэффициента пластичности диафрагм жесткости </w:t>
      </w:r>
      <w:r w:rsidRPr="00D97163">
        <w:rPr>
          <w:rFonts w:eastAsia="Calibri" w:cs="Times New Roman"/>
          <w:i/>
          <w:szCs w:val="24"/>
        </w:rPr>
        <w:t>μ</w:t>
      </w:r>
      <w:r w:rsidRPr="00D97163">
        <w:rPr>
          <w:rFonts w:eastAsia="Calibri" w:cs="Times New Roman"/>
          <w:szCs w:val="24"/>
        </w:rPr>
        <w:t xml:space="preserve"> = 2,4 ÷2,6. Необходимо отметить, что приведенное соотношение достаточно стабильно и меняется в узких пределах при варьировании основных характеристик тестовых моделей: этажность, пролет, принятое армирование вертикальных несущих элементов.</w:t>
      </w:r>
    </w:p>
    <w:p w:rsidR="00872041" w:rsidRPr="00D97163" w:rsidRDefault="00872041" w:rsidP="00872041">
      <w:pPr>
        <w:spacing w:line="240" w:lineRule="auto"/>
        <w:ind w:firstLine="567"/>
        <w:rPr>
          <w:rFonts w:eastAsia="Calibri" w:cs="Times New Roman"/>
          <w:szCs w:val="24"/>
        </w:rPr>
      </w:pPr>
    </w:p>
    <w:tbl>
      <w:tblPr>
        <w:tblW w:w="0" w:type="auto"/>
        <w:tblLook w:val="04A0" w:firstRow="1" w:lastRow="0" w:firstColumn="1" w:lastColumn="0" w:noHBand="0" w:noVBand="1"/>
      </w:tblPr>
      <w:tblGrid>
        <w:gridCol w:w="3227"/>
        <w:gridCol w:w="6344"/>
      </w:tblGrid>
      <w:tr w:rsidR="00872041" w:rsidRPr="00D97163" w:rsidTr="00960E9C">
        <w:tc>
          <w:tcPr>
            <w:tcW w:w="3227" w:type="dxa"/>
            <w:shd w:val="clear" w:color="auto" w:fill="auto"/>
          </w:tcPr>
          <w:p w:rsidR="00872041" w:rsidRPr="00D97163" w:rsidRDefault="00872041" w:rsidP="00960E9C">
            <w:pPr>
              <w:spacing w:line="240" w:lineRule="auto"/>
              <w:ind w:firstLine="0"/>
              <w:jc w:val="center"/>
              <w:rPr>
                <w:rFonts w:eastAsia="Calibri" w:cs="Times New Roman"/>
                <w:szCs w:val="24"/>
              </w:rPr>
            </w:pPr>
            <w:r w:rsidRPr="00D97163">
              <w:rPr>
                <w:rFonts w:ascii="Calibri" w:eastAsia="Calibri" w:hAnsi="Calibri" w:cs="Times New Roman"/>
                <w:noProof/>
                <w:szCs w:val="24"/>
                <w:lang w:eastAsia="ru-RU"/>
              </w:rPr>
              <w:drawing>
                <wp:inline distT="0" distB="0" distL="0" distR="0" wp14:anchorId="1C642104" wp14:editId="48534821">
                  <wp:extent cx="1296035" cy="22980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6035" cy="2298065"/>
                          </a:xfrm>
                          <a:prstGeom prst="rect">
                            <a:avLst/>
                          </a:prstGeom>
                          <a:noFill/>
                          <a:ln>
                            <a:noFill/>
                          </a:ln>
                        </pic:spPr>
                      </pic:pic>
                    </a:graphicData>
                  </a:graphic>
                </wp:inline>
              </w:drawing>
            </w:r>
          </w:p>
        </w:tc>
        <w:tc>
          <w:tcPr>
            <w:tcW w:w="6344" w:type="dxa"/>
            <w:shd w:val="clear" w:color="auto" w:fill="auto"/>
          </w:tcPr>
          <w:p w:rsidR="00872041" w:rsidRPr="00D97163" w:rsidRDefault="00872041" w:rsidP="00960E9C">
            <w:pPr>
              <w:spacing w:line="240" w:lineRule="auto"/>
              <w:ind w:firstLine="0"/>
              <w:jc w:val="right"/>
              <w:rPr>
                <w:rFonts w:eastAsia="Calibri" w:cs="Times New Roman"/>
                <w:szCs w:val="24"/>
              </w:rPr>
            </w:pPr>
            <w:r w:rsidRPr="00D97163">
              <w:rPr>
                <w:rFonts w:ascii="Calibri" w:eastAsia="Calibri" w:hAnsi="Calibri" w:cs="Times New Roman"/>
                <w:noProof/>
                <w:szCs w:val="24"/>
                <w:lang w:eastAsia="ru-RU"/>
              </w:rPr>
              <w:drawing>
                <wp:inline distT="0" distB="0" distL="0" distR="0" wp14:anchorId="3E03043D" wp14:editId="14C6615E">
                  <wp:extent cx="3697605" cy="23933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l="2823" t="3993" r="3227" b="3674"/>
                          <a:stretch>
                            <a:fillRect/>
                          </a:stretch>
                        </pic:blipFill>
                        <pic:spPr bwMode="auto">
                          <a:xfrm>
                            <a:off x="0" y="0"/>
                            <a:ext cx="3697605" cy="2393315"/>
                          </a:xfrm>
                          <a:prstGeom prst="rect">
                            <a:avLst/>
                          </a:prstGeom>
                          <a:noFill/>
                          <a:ln>
                            <a:noFill/>
                          </a:ln>
                        </pic:spPr>
                      </pic:pic>
                    </a:graphicData>
                  </a:graphic>
                </wp:inline>
              </w:drawing>
            </w:r>
          </w:p>
        </w:tc>
      </w:tr>
      <w:tr w:rsidR="00872041" w:rsidRPr="00D97163" w:rsidTr="00960E9C">
        <w:tc>
          <w:tcPr>
            <w:tcW w:w="3227" w:type="dxa"/>
            <w:shd w:val="clear" w:color="auto" w:fill="auto"/>
          </w:tcPr>
          <w:p w:rsidR="00872041" w:rsidRPr="00D97163" w:rsidRDefault="00872041" w:rsidP="00960E9C">
            <w:pPr>
              <w:spacing w:line="240" w:lineRule="auto"/>
              <w:ind w:firstLine="0"/>
              <w:rPr>
                <w:rFonts w:eastAsia="Calibri" w:cs="Times New Roman"/>
                <w:szCs w:val="24"/>
              </w:rPr>
            </w:pPr>
            <w:r w:rsidRPr="00D97163">
              <w:rPr>
                <w:rFonts w:eastAsia="Calibri" w:cs="Times New Roman"/>
                <w:szCs w:val="24"/>
              </w:rPr>
              <w:t>Рис. 1. Общий вид модели, использованной для расчетно-теоретических исследований.</w:t>
            </w:r>
          </w:p>
        </w:tc>
        <w:tc>
          <w:tcPr>
            <w:tcW w:w="6344" w:type="dxa"/>
            <w:shd w:val="clear" w:color="auto" w:fill="auto"/>
          </w:tcPr>
          <w:p w:rsidR="00872041" w:rsidRPr="00D97163" w:rsidRDefault="00872041" w:rsidP="00960E9C">
            <w:pPr>
              <w:spacing w:line="240" w:lineRule="auto"/>
              <w:ind w:left="459" w:firstLine="0"/>
              <w:rPr>
                <w:rFonts w:eastAsia="Calibri" w:cs="Times New Roman"/>
                <w:szCs w:val="24"/>
              </w:rPr>
            </w:pPr>
            <w:r w:rsidRPr="00D97163">
              <w:rPr>
                <w:rFonts w:eastAsia="Calibri" w:cs="Times New Roman"/>
                <w:szCs w:val="24"/>
              </w:rPr>
              <w:t xml:space="preserve">Рис. 2. Образование зона пластических деформаций в вертикальных несущих конструкциях первого этажа рамно-связевого железобетонного каркаса и величины коэффициентов пластичности. </w:t>
            </w:r>
          </w:p>
        </w:tc>
      </w:tr>
    </w:tbl>
    <w:p w:rsidR="00872041" w:rsidRPr="00D97163" w:rsidRDefault="00872041" w:rsidP="00872041">
      <w:pPr>
        <w:spacing w:line="240" w:lineRule="auto"/>
        <w:ind w:firstLine="0"/>
        <w:rPr>
          <w:rFonts w:eastAsia="Calibri" w:cs="Times New Roman"/>
          <w:szCs w:val="24"/>
        </w:rPr>
      </w:pPr>
    </w:p>
    <w:p w:rsidR="00872041" w:rsidRPr="00D97163" w:rsidRDefault="00872041" w:rsidP="00872041">
      <w:pPr>
        <w:spacing w:line="240" w:lineRule="auto"/>
        <w:ind w:firstLine="0"/>
        <w:rPr>
          <w:rFonts w:eastAsia="Calibri" w:cs="Times New Roman"/>
          <w:szCs w:val="24"/>
        </w:rPr>
      </w:pPr>
    </w:p>
    <w:p w:rsidR="00872041" w:rsidRPr="00D97163" w:rsidRDefault="00872041" w:rsidP="00872041">
      <w:pPr>
        <w:spacing w:line="240" w:lineRule="auto"/>
        <w:ind w:firstLine="0"/>
        <w:rPr>
          <w:rFonts w:eastAsia="Calibri" w:cs="Times New Roman"/>
          <w:szCs w:val="24"/>
        </w:rPr>
      </w:pPr>
    </w:p>
    <w:tbl>
      <w:tblPr>
        <w:tblW w:w="9569" w:type="dxa"/>
        <w:tblLook w:val="04A0" w:firstRow="1" w:lastRow="0" w:firstColumn="1" w:lastColumn="0" w:noHBand="0" w:noVBand="1"/>
      </w:tblPr>
      <w:tblGrid>
        <w:gridCol w:w="9569"/>
      </w:tblGrid>
      <w:tr w:rsidR="00872041" w:rsidRPr="00D97163" w:rsidTr="00960E9C">
        <w:trPr>
          <w:trHeight w:val="5851"/>
        </w:trPr>
        <w:tc>
          <w:tcPr>
            <w:tcW w:w="9569" w:type="dxa"/>
            <w:shd w:val="clear" w:color="auto" w:fill="auto"/>
          </w:tcPr>
          <w:p w:rsidR="00872041" w:rsidRPr="00D97163" w:rsidRDefault="00872041" w:rsidP="00960E9C">
            <w:pPr>
              <w:spacing w:line="276" w:lineRule="auto"/>
              <w:ind w:firstLine="0"/>
              <w:jc w:val="left"/>
              <w:rPr>
                <w:rFonts w:eastAsia="Calibri" w:cs="Times New Roman"/>
                <w:i/>
                <w:szCs w:val="24"/>
              </w:rPr>
            </w:pPr>
            <w:r w:rsidRPr="00D97163">
              <w:rPr>
                <w:rFonts w:eastAsia="Calibri" w:cs="Times New Roman"/>
                <w:i/>
                <w:szCs w:val="24"/>
              </w:rPr>
              <w:t>а)</w:t>
            </w:r>
          </w:p>
          <w:p w:rsidR="00872041" w:rsidRPr="00D97163" w:rsidRDefault="00872041" w:rsidP="00960E9C">
            <w:pPr>
              <w:spacing w:line="276" w:lineRule="auto"/>
              <w:ind w:firstLine="0"/>
              <w:jc w:val="left"/>
              <w:rPr>
                <w:rFonts w:eastAsia="Calibri" w:cs="Times New Roman"/>
                <w:szCs w:val="24"/>
              </w:rPr>
            </w:pPr>
            <w:r w:rsidRPr="00D97163">
              <w:rPr>
                <w:rFonts w:ascii="Calibri" w:eastAsia="Calibri" w:hAnsi="Calibri" w:cs="Times New Roman"/>
                <w:noProof/>
                <w:szCs w:val="24"/>
                <w:lang w:eastAsia="ru-RU"/>
              </w:rPr>
              <w:drawing>
                <wp:inline distT="0" distB="0" distL="0" distR="0" wp14:anchorId="36E4E48E" wp14:editId="0620F9ED">
                  <wp:extent cx="5734050" cy="3552825"/>
                  <wp:effectExtent l="0" t="0" r="0" b="95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5">
                            <a:extLst>
                              <a:ext uri="{28A0092B-C50C-407E-A947-70E740481C1C}">
                                <a14:useLocalDpi xmlns:a14="http://schemas.microsoft.com/office/drawing/2010/main" val="0"/>
                              </a:ext>
                            </a:extLst>
                          </a:blip>
                          <a:srcRect l="1059" t="1764" r="1186" b="5150"/>
                          <a:stretch>
                            <a:fillRect/>
                          </a:stretch>
                        </pic:blipFill>
                        <pic:spPr bwMode="auto">
                          <a:xfrm>
                            <a:off x="0" y="0"/>
                            <a:ext cx="5734050" cy="3552825"/>
                          </a:xfrm>
                          <a:prstGeom prst="rect">
                            <a:avLst/>
                          </a:prstGeom>
                          <a:noFill/>
                          <a:ln>
                            <a:noFill/>
                          </a:ln>
                        </pic:spPr>
                      </pic:pic>
                    </a:graphicData>
                  </a:graphic>
                </wp:inline>
              </w:drawing>
            </w:r>
          </w:p>
        </w:tc>
      </w:tr>
      <w:tr w:rsidR="00872041" w:rsidRPr="00D97163" w:rsidTr="00960E9C">
        <w:tc>
          <w:tcPr>
            <w:tcW w:w="9569" w:type="dxa"/>
            <w:shd w:val="clear" w:color="auto" w:fill="auto"/>
          </w:tcPr>
          <w:p w:rsidR="00872041" w:rsidRPr="00D97163" w:rsidRDefault="00872041" w:rsidP="00960E9C">
            <w:pPr>
              <w:spacing w:line="276" w:lineRule="auto"/>
              <w:ind w:firstLine="0"/>
              <w:jc w:val="left"/>
              <w:rPr>
                <w:rFonts w:eastAsia="Calibri" w:cs="Times New Roman"/>
                <w:i/>
                <w:szCs w:val="24"/>
              </w:rPr>
            </w:pPr>
            <w:r w:rsidRPr="00D97163">
              <w:rPr>
                <w:rFonts w:eastAsia="Calibri" w:cs="Times New Roman"/>
                <w:i/>
                <w:szCs w:val="24"/>
              </w:rPr>
              <w:t>б)</w:t>
            </w:r>
          </w:p>
          <w:p w:rsidR="00872041" w:rsidRPr="00D97163" w:rsidRDefault="00872041" w:rsidP="00960E9C">
            <w:pPr>
              <w:spacing w:line="240" w:lineRule="auto"/>
              <w:ind w:firstLine="0"/>
              <w:jc w:val="left"/>
              <w:rPr>
                <w:rFonts w:eastAsia="Calibri" w:cs="Times New Roman"/>
                <w:szCs w:val="24"/>
              </w:rPr>
            </w:pPr>
            <w:r w:rsidRPr="00D97163">
              <w:rPr>
                <w:rFonts w:ascii="Calibri" w:eastAsia="Calibri" w:hAnsi="Calibri" w:cs="Times New Roman"/>
                <w:noProof/>
                <w:szCs w:val="24"/>
                <w:lang w:eastAsia="ru-RU"/>
              </w:rPr>
              <w:drawing>
                <wp:inline distT="0" distB="0" distL="0" distR="0" wp14:anchorId="3A20A083" wp14:editId="10BA89E6">
                  <wp:extent cx="5772150" cy="3400425"/>
                  <wp:effectExtent l="0" t="0" r="0" b="9525"/>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6">
                            <a:extLst>
                              <a:ext uri="{28A0092B-C50C-407E-A947-70E740481C1C}">
                                <a14:useLocalDpi xmlns:a14="http://schemas.microsoft.com/office/drawing/2010/main" val="0"/>
                              </a:ext>
                            </a:extLst>
                          </a:blip>
                          <a:srcRect l="1056" t="937" r="919" b="4091"/>
                          <a:stretch>
                            <a:fillRect/>
                          </a:stretch>
                        </pic:blipFill>
                        <pic:spPr bwMode="auto">
                          <a:xfrm>
                            <a:off x="0" y="0"/>
                            <a:ext cx="5772150" cy="3400425"/>
                          </a:xfrm>
                          <a:prstGeom prst="rect">
                            <a:avLst/>
                          </a:prstGeom>
                          <a:noFill/>
                          <a:ln>
                            <a:noFill/>
                          </a:ln>
                        </pic:spPr>
                      </pic:pic>
                    </a:graphicData>
                  </a:graphic>
                </wp:inline>
              </w:drawing>
            </w:r>
          </w:p>
        </w:tc>
      </w:tr>
      <w:tr w:rsidR="00872041" w:rsidRPr="00D97163" w:rsidTr="00960E9C">
        <w:tc>
          <w:tcPr>
            <w:tcW w:w="9569" w:type="dxa"/>
            <w:shd w:val="clear" w:color="auto" w:fill="auto"/>
            <w:vAlign w:val="center"/>
          </w:tcPr>
          <w:p w:rsidR="00872041" w:rsidRDefault="00872041" w:rsidP="00960E9C">
            <w:pPr>
              <w:spacing w:line="240" w:lineRule="auto"/>
              <w:ind w:firstLine="0"/>
              <w:jc w:val="center"/>
              <w:rPr>
                <w:rFonts w:eastAsia="Calibri" w:cs="Times New Roman"/>
                <w:szCs w:val="24"/>
              </w:rPr>
            </w:pPr>
          </w:p>
          <w:p w:rsidR="00872041" w:rsidRPr="00D97163" w:rsidRDefault="00872041" w:rsidP="00960E9C">
            <w:pPr>
              <w:spacing w:line="240" w:lineRule="auto"/>
              <w:ind w:firstLine="0"/>
              <w:jc w:val="center"/>
              <w:rPr>
                <w:rFonts w:eastAsia="Calibri" w:cs="Times New Roman"/>
                <w:szCs w:val="24"/>
              </w:rPr>
            </w:pPr>
            <w:r w:rsidRPr="00D97163">
              <w:rPr>
                <w:rFonts w:eastAsia="Calibri" w:cs="Times New Roman"/>
                <w:szCs w:val="24"/>
              </w:rPr>
              <w:t xml:space="preserve">Рис. 3. Графики образование зона пластических деформаций в вертикальных несущих конструкциях первого этажа рамно-связевого железобетонного каркаса перед </w:t>
            </w:r>
          </w:p>
          <w:p w:rsidR="00872041" w:rsidRPr="00D97163" w:rsidRDefault="00872041" w:rsidP="00960E9C">
            <w:pPr>
              <w:spacing w:line="240" w:lineRule="auto"/>
              <w:ind w:firstLine="0"/>
              <w:jc w:val="center"/>
              <w:rPr>
                <w:rFonts w:eastAsia="Calibri" w:cs="Times New Roman"/>
                <w:szCs w:val="24"/>
              </w:rPr>
            </w:pPr>
            <w:r w:rsidRPr="00D97163">
              <w:rPr>
                <w:rFonts w:eastAsia="Calibri" w:cs="Times New Roman"/>
                <w:szCs w:val="24"/>
              </w:rPr>
              <w:t>обрушением (</w:t>
            </w:r>
            <w:r w:rsidRPr="00D97163">
              <w:rPr>
                <w:rFonts w:eastAsia="Calibri" w:cs="Times New Roman"/>
                <w:i/>
                <w:szCs w:val="24"/>
                <w:lang w:val="en-US"/>
              </w:rPr>
              <w:t>t</w:t>
            </w:r>
            <w:r w:rsidRPr="00D97163">
              <w:rPr>
                <w:rFonts w:eastAsia="Calibri" w:cs="Times New Roman"/>
                <w:i/>
                <w:szCs w:val="24"/>
              </w:rPr>
              <w:t>=5.5 сек</w:t>
            </w:r>
            <w:r w:rsidRPr="00D97163">
              <w:rPr>
                <w:rFonts w:eastAsia="Calibri" w:cs="Times New Roman"/>
                <w:szCs w:val="24"/>
              </w:rPr>
              <w:t>) и величины коэффициентов пластичности.</w:t>
            </w:r>
          </w:p>
          <w:p w:rsidR="00872041" w:rsidRPr="00D97163" w:rsidRDefault="00872041" w:rsidP="00960E9C">
            <w:pPr>
              <w:spacing w:line="240" w:lineRule="auto"/>
              <w:ind w:firstLine="0"/>
              <w:jc w:val="center"/>
              <w:rPr>
                <w:rFonts w:eastAsia="Calibri" w:cs="Times New Roman"/>
                <w:szCs w:val="24"/>
              </w:rPr>
            </w:pPr>
            <w:r w:rsidRPr="00D97163">
              <w:rPr>
                <w:rFonts w:eastAsia="Calibri" w:cs="Times New Roman"/>
                <w:i/>
                <w:iCs/>
                <w:szCs w:val="24"/>
              </w:rPr>
              <w:t xml:space="preserve">а </w:t>
            </w:r>
            <w:r w:rsidRPr="00D97163">
              <w:rPr>
                <w:rFonts w:eastAsia="Calibri" w:cs="Times New Roman"/>
                <w:szCs w:val="24"/>
              </w:rPr>
              <w:t>– формирование пластических шарниров в колоннах первого этажа</w:t>
            </w:r>
          </w:p>
          <w:p w:rsidR="00872041" w:rsidRDefault="00872041" w:rsidP="00960E9C">
            <w:pPr>
              <w:spacing w:line="240" w:lineRule="auto"/>
              <w:ind w:firstLine="0"/>
              <w:jc w:val="center"/>
              <w:rPr>
                <w:rFonts w:eastAsia="Calibri" w:cs="Times New Roman"/>
                <w:szCs w:val="24"/>
              </w:rPr>
            </w:pPr>
            <w:r w:rsidRPr="00D97163">
              <w:rPr>
                <w:rFonts w:eastAsia="Calibri" w:cs="Times New Roman"/>
                <w:i/>
                <w:iCs/>
                <w:szCs w:val="24"/>
              </w:rPr>
              <w:t xml:space="preserve">б </w:t>
            </w:r>
            <w:r w:rsidRPr="00D97163">
              <w:rPr>
                <w:rFonts w:eastAsia="Calibri" w:cs="Times New Roman"/>
                <w:szCs w:val="24"/>
              </w:rPr>
              <w:t>– формирование пластических шарниров в стенах первого этажа</w:t>
            </w:r>
          </w:p>
          <w:p w:rsidR="00872041" w:rsidRPr="00D97163" w:rsidRDefault="00872041" w:rsidP="00960E9C">
            <w:pPr>
              <w:spacing w:line="240" w:lineRule="auto"/>
              <w:ind w:firstLine="0"/>
              <w:jc w:val="center"/>
              <w:rPr>
                <w:rFonts w:eastAsia="Calibri" w:cs="Times New Roman"/>
                <w:szCs w:val="24"/>
              </w:rPr>
            </w:pPr>
          </w:p>
        </w:tc>
      </w:tr>
      <w:tr w:rsidR="00872041" w:rsidRPr="00D97163" w:rsidTr="00960E9C">
        <w:trPr>
          <w:trHeight w:val="20"/>
        </w:trPr>
        <w:tc>
          <w:tcPr>
            <w:tcW w:w="9569" w:type="dxa"/>
            <w:shd w:val="clear" w:color="auto" w:fill="auto"/>
            <w:vAlign w:val="center"/>
          </w:tcPr>
          <w:p w:rsidR="00872041" w:rsidRPr="00D97163" w:rsidRDefault="00872041" w:rsidP="00960E9C">
            <w:pPr>
              <w:spacing w:line="276" w:lineRule="auto"/>
              <w:ind w:firstLine="0"/>
              <w:jc w:val="center"/>
              <w:rPr>
                <w:rFonts w:eastAsia="Calibri" w:cs="Times New Roman"/>
                <w:szCs w:val="24"/>
              </w:rPr>
            </w:pPr>
            <w:r w:rsidRPr="00D97163">
              <w:rPr>
                <w:rFonts w:ascii="Calibri" w:eastAsia="Calibri" w:hAnsi="Calibri" w:cs="Times New Roman"/>
                <w:noProof/>
                <w:szCs w:val="24"/>
                <w:lang w:eastAsia="ru-RU"/>
              </w:rPr>
              <w:lastRenderedPageBreak/>
              <w:drawing>
                <wp:inline distT="0" distB="0" distL="0" distR="0" wp14:anchorId="5F48FAE5" wp14:editId="0DCE01D4">
                  <wp:extent cx="5041265" cy="3235960"/>
                  <wp:effectExtent l="0" t="0" r="6985" b="254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7">
                            <a:extLst>
                              <a:ext uri="{28A0092B-C50C-407E-A947-70E740481C1C}">
                                <a14:useLocalDpi xmlns:a14="http://schemas.microsoft.com/office/drawing/2010/main" val="0"/>
                              </a:ext>
                            </a:extLst>
                          </a:blip>
                          <a:srcRect l="1088" t="1263" r="1088" b="2267"/>
                          <a:stretch>
                            <a:fillRect/>
                          </a:stretch>
                        </pic:blipFill>
                        <pic:spPr bwMode="auto">
                          <a:xfrm>
                            <a:off x="0" y="0"/>
                            <a:ext cx="5041265" cy="3235960"/>
                          </a:xfrm>
                          <a:prstGeom prst="rect">
                            <a:avLst/>
                          </a:prstGeom>
                          <a:noFill/>
                          <a:ln>
                            <a:noFill/>
                          </a:ln>
                        </pic:spPr>
                      </pic:pic>
                    </a:graphicData>
                  </a:graphic>
                </wp:inline>
              </w:drawing>
            </w:r>
          </w:p>
        </w:tc>
      </w:tr>
      <w:tr w:rsidR="00872041" w:rsidRPr="00D97163" w:rsidTr="00960E9C">
        <w:tc>
          <w:tcPr>
            <w:tcW w:w="9569" w:type="dxa"/>
            <w:shd w:val="clear" w:color="auto" w:fill="auto"/>
          </w:tcPr>
          <w:p w:rsidR="00872041" w:rsidRPr="00D97163" w:rsidRDefault="00872041" w:rsidP="00960E9C">
            <w:pPr>
              <w:spacing w:after="160" w:line="259" w:lineRule="auto"/>
              <w:ind w:firstLine="0"/>
              <w:jc w:val="left"/>
              <w:rPr>
                <w:rFonts w:eastAsia="Calibri" w:cs="Times New Roman"/>
                <w:szCs w:val="24"/>
              </w:rPr>
            </w:pPr>
            <w:r w:rsidRPr="00D97163">
              <w:rPr>
                <w:rFonts w:eastAsia="Calibri" w:cs="Times New Roman"/>
                <w:szCs w:val="24"/>
              </w:rPr>
              <w:t>Рис. 4. Перемещения верха здания по направлениям Х и Y перед обрушением (t=5,5 сек)</w:t>
            </w:r>
          </w:p>
        </w:tc>
      </w:tr>
    </w:tbl>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t>Таким образом, проведенными исследованиями установлен факт влияния различного уровня пластических деформаций разнородных по назначению элементов конструкции на общий уровень несущей способности несущих систем при сейсмических воздействиях.</w:t>
      </w:r>
    </w:p>
    <w:p w:rsidR="00872041" w:rsidRPr="00D97163" w:rsidRDefault="00872041" w:rsidP="00872041">
      <w:pPr>
        <w:spacing w:line="240" w:lineRule="auto"/>
        <w:ind w:firstLine="567"/>
        <w:rPr>
          <w:rFonts w:eastAsia="Calibri" w:cs="Times New Roman"/>
          <w:szCs w:val="24"/>
        </w:rPr>
      </w:pPr>
      <w:r w:rsidRPr="00D97163">
        <w:rPr>
          <w:rFonts w:eastAsia="Calibri" w:cs="Times New Roman"/>
          <w:szCs w:val="24"/>
        </w:rPr>
        <w:t>На основе результатов исследований предлагается ввести дифференцированные величины значений коэффициента допускаемых повреждений (</w:t>
      </w:r>
      <w:r w:rsidRPr="00D97163">
        <w:rPr>
          <w:rFonts w:eastAsia="Calibri" w:cs="Times New Roman"/>
          <w:i/>
          <w:szCs w:val="24"/>
        </w:rPr>
        <w:t>К</w:t>
      </w:r>
      <w:r w:rsidRPr="00D97163">
        <w:rPr>
          <w:rFonts w:eastAsia="Calibri" w:cs="Times New Roman"/>
          <w:i/>
          <w:szCs w:val="24"/>
          <w:vertAlign w:val="subscript"/>
        </w:rPr>
        <w:t>1</w:t>
      </w:r>
      <w:r w:rsidRPr="00D97163">
        <w:rPr>
          <w:rFonts w:eastAsia="Calibri" w:cs="Times New Roman"/>
          <w:szCs w:val="24"/>
        </w:rPr>
        <w:t>) для элементов несущих систем с учетом уровня ответственности таких элементов за обеспечение исходной (проектной) расчетной схемы несущей системы.</w:t>
      </w:r>
    </w:p>
    <w:p w:rsidR="00872041" w:rsidRPr="00D97163" w:rsidRDefault="00872041" w:rsidP="00872041">
      <w:pPr>
        <w:spacing w:line="240" w:lineRule="auto"/>
        <w:ind w:firstLine="567"/>
        <w:rPr>
          <w:rFonts w:eastAsia="Calibri" w:cs="Times New Roman"/>
          <w:szCs w:val="24"/>
        </w:rPr>
      </w:pPr>
    </w:p>
    <w:p w:rsidR="00872041" w:rsidRPr="00D97163" w:rsidRDefault="00872041" w:rsidP="00872041">
      <w:pPr>
        <w:spacing w:line="240" w:lineRule="auto"/>
        <w:ind w:firstLine="567"/>
        <w:rPr>
          <w:rFonts w:eastAsia="Calibri" w:cs="Times New Roman"/>
          <w:szCs w:val="24"/>
        </w:rPr>
      </w:pPr>
    </w:p>
    <w:p w:rsidR="00872041" w:rsidRPr="002258E4" w:rsidRDefault="00872041" w:rsidP="00872041">
      <w:pPr>
        <w:spacing w:line="259" w:lineRule="auto"/>
        <w:ind w:right="-1" w:firstLine="0"/>
        <w:rPr>
          <w:rFonts w:eastAsia="Calibri" w:cs="Times New Roman"/>
          <w:b/>
          <w:szCs w:val="24"/>
        </w:rPr>
      </w:pPr>
      <w:r w:rsidRPr="002258E4">
        <w:rPr>
          <w:rFonts w:eastAsia="Calibri" w:cs="Times New Roman"/>
          <w:b/>
          <w:szCs w:val="24"/>
        </w:rPr>
        <w:t>Литература</w:t>
      </w:r>
    </w:p>
    <w:p w:rsidR="00872041" w:rsidRPr="00D97163" w:rsidRDefault="00872041" w:rsidP="00872041">
      <w:pPr>
        <w:numPr>
          <w:ilvl w:val="0"/>
          <w:numId w:val="1"/>
        </w:numPr>
        <w:tabs>
          <w:tab w:val="left" w:pos="426"/>
        </w:tabs>
        <w:spacing w:after="160" w:line="259" w:lineRule="auto"/>
        <w:ind w:left="142" w:right="-1" w:hanging="142"/>
        <w:contextualSpacing/>
        <w:rPr>
          <w:rFonts w:eastAsia="Times New Roman" w:cs="Times New Roman"/>
          <w:szCs w:val="24"/>
        </w:rPr>
      </w:pPr>
      <w:bookmarkStart w:id="1" w:name="_Ref410291776"/>
      <w:bookmarkStart w:id="2" w:name="_Ref443657287"/>
      <w:bookmarkStart w:id="3" w:name="_Ref526932141"/>
      <w:r w:rsidRPr="00D97163">
        <w:rPr>
          <w:rFonts w:eastAsia="Times New Roman" w:cs="Times New Roman"/>
          <w:szCs w:val="24"/>
        </w:rPr>
        <w:t xml:space="preserve">Свод правил СП 14.13330.2014. Строительство в сейсмических районах. СНиП II-7-81*. </w:t>
      </w:r>
      <w:bookmarkEnd w:id="1"/>
      <w:r w:rsidRPr="00D97163">
        <w:rPr>
          <w:rFonts w:eastAsia="Times New Roman" w:cs="Times New Roman"/>
          <w:szCs w:val="24"/>
        </w:rPr>
        <w:t>– М.: Минстрой России, 2014. – 126 с.</w:t>
      </w:r>
      <w:bookmarkEnd w:id="2"/>
    </w:p>
    <w:p w:rsidR="00872041" w:rsidRPr="00D97163" w:rsidRDefault="00872041" w:rsidP="00872041">
      <w:pPr>
        <w:numPr>
          <w:ilvl w:val="0"/>
          <w:numId w:val="1"/>
        </w:numPr>
        <w:tabs>
          <w:tab w:val="left" w:pos="426"/>
        </w:tabs>
        <w:spacing w:after="160" w:line="259" w:lineRule="auto"/>
        <w:ind w:left="142" w:right="-1" w:hanging="142"/>
        <w:contextualSpacing/>
        <w:rPr>
          <w:rFonts w:eastAsia="Times New Roman" w:cs="Times New Roman"/>
          <w:szCs w:val="24"/>
          <w:lang w:val="en-US"/>
        </w:rPr>
      </w:pPr>
      <w:bookmarkStart w:id="4" w:name="_Ref430942292"/>
      <w:bookmarkStart w:id="5" w:name="_Ref443657297"/>
      <w:r w:rsidRPr="00D97163">
        <w:rPr>
          <w:rFonts w:eastAsia="Times New Roman" w:cs="Times New Roman"/>
          <w:szCs w:val="24"/>
          <w:lang w:val="en-US"/>
        </w:rPr>
        <w:t xml:space="preserve">EN 1998-1. Eurocode 8: Design of sructures for earthquake resistance – Part 1: General rules seismic actions and riles for buildings. </w:t>
      </w:r>
      <w:bookmarkEnd w:id="4"/>
      <w:r w:rsidRPr="00D97163">
        <w:rPr>
          <w:rFonts w:eastAsia="Times New Roman" w:cs="Times New Roman"/>
          <w:szCs w:val="24"/>
          <w:lang w:val="en-US"/>
        </w:rPr>
        <w:t>– Brussels.: CEN, 2005. – 102 p.</w:t>
      </w:r>
      <w:bookmarkEnd w:id="5"/>
    </w:p>
    <w:p w:rsidR="00872041" w:rsidRPr="00D97163" w:rsidRDefault="00872041" w:rsidP="00872041">
      <w:pPr>
        <w:numPr>
          <w:ilvl w:val="0"/>
          <w:numId w:val="1"/>
        </w:numPr>
        <w:tabs>
          <w:tab w:val="left" w:pos="426"/>
        </w:tabs>
        <w:spacing w:after="160" w:line="259" w:lineRule="auto"/>
        <w:ind w:left="142" w:right="-1" w:hanging="142"/>
        <w:contextualSpacing/>
        <w:rPr>
          <w:rFonts w:eastAsia="Times New Roman" w:cs="Times New Roman"/>
          <w:szCs w:val="24"/>
        </w:rPr>
      </w:pPr>
      <w:bookmarkStart w:id="6" w:name="_Ref10381986"/>
      <w:bookmarkStart w:id="7" w:name="_Ref423015115"/>
      <w:bookmarkEnd w:id="3"/>
      <w:r>
        <w:rPr>
          <w:rFonts w:eastAsia="Times New Roman" w:cs="Times New Roman"/>
          <w:szCs w:val="24"/>
        </w:rPr>
        <w:t>Кабанцев</w:t>
      </w:r>
      <w:r w:rsidRPr="00D97163">
        <w:rPr>
          <w:rFonts w:eastAsia="Times New Roman" w:cs="Times New Roman"/>
          <w:szCs w:val="24"/>
        </w:rPr>
        <w:t xml:space="preserve"> О.В. О методике определения коэффициента допускаемых повреждений К</w:t>
      </w:r>
      <w:r w:rsidRPr="00D97163">
        <w:rPr>
          <w:rFonts w:eastAsia="Times New Roman" w:cs="Times New Roman"/>
          <w:szCs w:val="24"/>
          <w:vertAlign w:val="subscript"/>
        </w:rPr>
        <w:t>1</w:t>
      </w:r>
      <w:r w:rsidRPr="00D97163">
        <w:rPr>
          <w:rFonts w:eastAsia="Times New Roman" w:cs="Times New Roman"/>
          <w:szCs w:val="24"/>
        </w:rPr>
        <w:t xml:space="preserve"> сейсмостойких конструкций [Текст] / О.В. Кабанцев, Ш. Шарипов, Э.С. Усеинов // Вестник Томского государственного архитектурно-строительного университета. – 2016. – №2. – С. 117-129.</w:t>
      </w:r>
      <w:bookmarkEnd w:id="6"/>
    </w:p>
    <w:p w:rsidR="00872041" w:rsidRPr="00D97163" w:rsidRDefault="00872041" w:rsidP="00872041">
      <w:pPr>
        <w:numPr>
          <w:ilvl w:val="0"/>
          <w:numId w:val="1"/>
        </w:numPr>
        <w:tabs>
          <w:tab w:val="left" w:pos="426"/>
        </w:tabs>
        <w:spacing w:after="160" w:line="259" w:lineRule="auto"/>
        <w:ind w:left="142" w:right="-1" w:hanging="142"/>
        <w:contextualSpacing/>
        <w:rPr>
          <w:rFonts w:eastAsia="Times New Roman" w:cs="Times New Roman"/>
          <w:szCs w:val="24"/>
        </w:rPr>
      </w:pPr>
      <w:bookmarkStart w:id="8" w:name="_Ref10382153"/>
      <w:r w:rsidRPr="00D97163">
        <w:rPr>
          <w:rFonts w:eastAsia="Times New Roman" w:cs="Times New Roman"/>
          <w:szCs w:val="24"/>
        </w:rPr>
        <w:t>Айзенберг, Я.М. Спитакское землетрясение 7 декабря 1988 года. Некоторые уроки и выводы [Текст] / Я.М. Айзенберг // Сейсмостойкое строительство. Безопасность сооружений. – 1999. – №1. – С. 6-9.</w:t>
      </w:r>
      <w:bookmarkEnd w:id="7"/>
      <w:bookmarkEnd w:id="8"/>
    </w:p>
    <w:p w:rsidR="00872041" w:rsidRPr="00D97163" w:rsidRDefault="00872041" w:rsidP="00872041">
      <w:pPr>
        <w:numPr>
          <w:ilvl w:val="0"/>
          <w:numId w:val="1"/>
        </w:numPr>
        <w:tabs>
          <w:tab w:val="left" w:pos="426"/>
        </w:tabs>
        <w:spacing w:after="160" w:line="259" w:lineRule="auto"/>
        <w:ind w:left="142" w:right="-1" w:hanging="142"/>
        <w:contextualSpacing/>
        <w:rPr>
          <w:rFonts w:eastAsia="Times New Roman" w:cs="Times New Roman"/>
          <w:szCs w:val="24"/>
        </w:rPr>
      </w:pPr>
      <w:bookmarkStart w:id="9" w:name="_Ref404948285"/>
      <w:r w:rsidRPr="00D97163">
        <w:rPr>
          <w:rFonts w:eastAsia="Times New Roman" w:cs="Times New Roman"/>
          <w:szCs w:val="24"/>
        </w:rPr>
        <w:t>Андреев, О.О. Уроки землетрясения. Общие выводы [Текст] / О.О. Андреев, В.И. Ойзерман // Карпатское землетрясение 1986 г.; под редакцией А.В. Друмя, Н.В. Шебалина, Н.Н. Складнева, С.С. Графова, В.И. Ойзермана. – Кишинев, 1990. – С. 323-325.</w:t>
      </w:r>
      <w:bookmarkEnd w:id="9"/>
    </w:p>
    <w:p w:rsidR="00872041" w:rsidRPr="00D97163" w:rsidRDefault="00872041" w:rsidP="00872041">
      <w:pPr>
        <w:numPr>
          <w:ilvl w:val="0"/>
          <w:numId w:val="1"/>
        </w:numPr>
        <w:tabs>
          <w:tab w:val="left" w:pos="426"/>
        </w:tabs>
        <w:spacing w:after="160" w:line="259" w:lineRule="auto"/>
        <w:ind w:left="142" w:right="-1" w:hanging="142"/>
        <w:contextualSpacing/>
        <w:rPr>
          <w:rFonts w:eastAsia="Times New Roman" w:cs="Times New Roman"/>
          <w:szCs w:val="24"/>
        </w:rPr>
      </w:pPr>
      <w:bookmarkStart w:id="10" w:name="_Ref430859683"/>
      <w:r w:rsidRPr="00D97163">
        <w:rPr>
          <w:rFonts w:eastAsia="Times New Roman" w:cs="Times New Roman"/>
          <w:szCs w:val="24"/>
        </w:rPr>
        <w:t>Газлийское землетрясение 1984 г.: Анализ поведения зданий и инженерных сооружений [Текст] / Отв. Редакторы: А.И. Мартемьянов, Д.А. Алексеенков, Л.Ш. Килимник. -М.: Наука, 1988. -118 с.</w:t>
      </w:r>
      <w:bookmarkEnd w:id="10"/>
    </w:p>
    <w:p w:rsidR="00872041" w:rsidRPr="00D97163" w:rsidRDefault="00872041" w:rsidP="00872041">
      <w:pPr>
        <w:numPr>
          <w:ilvl w:val="0"/>
          <w:numId w:val="1"/>
        </w:numPr>
        <w:tabs>
          <w:tab w:val="left" w:pos="426"/>
        </w:tabs>
        <w:spacing w:after="160" w:line="259" w:lineRule="auto"/>
        <w:ind w:left="142" w:right="-1" w:hanging="142"/>
        <w:contextualSpacing/>
        <w:rPr>
          <w:rFonts w:eastAsia="Times New Roman" w:cs="Times New Roman"/>
          <w:szCs w:val="24"/>
        </w:rPr>
      </w:pPr>
      <w:bookmarkStart w:id="11" w:name="_Ref407021389"/>
      <w:bookmarkStart w:id="12" w:name="_Ref443915035"/>
      <w:r w:rsidRPr="00D97163">
        <w:rPr>
          <w:rFonts w:eastAsia="Times New Roman" w:cs="Times New Roman"/>
          <w:szCs w:val="24"/>
        </w:rPr>
        <w:t xml:space="preserve">Кабанцев, О.В. Макросейсмический эффект землетрясения 4 октября 1994 г. на островах Итуруп, Кунашир, Шикотан. [Текст] / О.В. Кабанцев // Экспресс-информация ВНИИИС </w:t>
      </w:r>
      <w:r w:rsidRPr="00D97163">
        <w:rPr>
          <w:rFonts w:eastAsia="Times New Roman" w:cs="Times New Roman"/>
          <w:szCs w:val="24"/>
        </w:rPr>
        <w:lastRenderedPageBreak/>
        <w:t xml:space="preserve">Госстроя СССР. Серия 14. Строительство в особых условиях. Сейсмостойкое строительство. </w:t>
      </w:r>
      <w:bookmarkEnd w:id="11"/>
      <w:r w:rsidRPr="00D97163">
        <w:rPr>
          <w:rFonts w:eastAsia="Times New Roman" w:cs="Times New Roman"/>
          <w:szCs w:val="24"/>
        </w:rPr>
        <w:t>– Вып. 4.  – М., 1995. – С. 7-11.</w:t>
      </w:r>
      <w:bookmarkEnd w:id="12"/>
    </w:p>
    <w:p w:rsidR="00872041" w:rsidRPr="00D97163" w:rsidRDefault="00872041" w:rsidP="00872041">
      <w:pPr>
        <w:numPr>
          <w:ilvl w:val="0"/>
          <w:numId w:val="1"/>
        </w:numPr>
        <w:tabs>
          <w:tab w:val="left" w:pos="426"/>
        </w:tabs>
        <w:spacing w:after="160" w:line="259" w:lineRule="auto"/>
        <w:ind w:left="142" w:right="-1" w:hanging="142"/>
        <w:contextualSpacing/>
        <w:rPr>
          <w:rFonts w:eastAsia="Times New Roman" w:cs="Times New Roman"/>
          <w:szCs w:val="24"/>
        </w:rPr>
      </w:pPr>
      <w:bookmarkStart w:id="13" w:name="_Ref10381405"/>
      <w:r w:rsidRPr="00D97163">
        <w:rPr>
          <w:rFonts w:eastAsia="Times New Roman" w:cs="Times New Roman"/>
          <w:szCs w:val="24"/>
        </w:rPr>
        <w:t>Федеральный закон №384 «Технический регламент о безопасности зданий и сооружений».</w:t>
      </w:r>
      <w:bookmarkStart w:id="14" w:name="_Ref407093387"/>
      <w:bookmarkEnd w:id="13"/>
    </w:p>
    <w:p w:rsidR="00872041" w:rsidRPr="00D97163" w:rsidRDefault="00872041" w:rsidP="00872041">
      <w:pPr>
        <w:numPr>
          <w:ilvl w:val="0"/>
          <w:numId w:val="1"/>
        </w:numPr>
        <w:tabs>
          <w:tab w:val="left" w:pos="426"/>
        </w:tabs>
        <w:spacing w:after="160" w:line="259" w:lineRule="auto"/>
        <w:ind w:left="142" w:right="-1" w:hanging="142"/>
        <w:contextualSpacing/>
        <w:rPr>
          <w:rFonts w:eastAsia="Times New Roman" w:cs="Times New Roman"/>
          <w:szCs w:val="24"/>
        </w:rPr>
      </w:pPr>
      <w:bookmarkStart w:id="15" w:name="_Ref10382488"/>
      <w:r w:rsidRPr="00D97163">
        <w:rPr>
          <w:rFonts w:eastAsia="Times New Roman" w:cs="Times New Roman"/>
          <w:szCs w:val="24"/>
        </w:rPr>
        <w:t>Ципенюк, И.Ф. Надежность зданий жесткой конструктивной схемы при сейсмических воздействиях [Текст] / И.Ф. Ципенюк // Строительная механика и расчет сооружений. -1990. - №10. - С. 84-87.</w:t>
      </w:r>
      <w:bookmarkEnd w:id="14"/>
      <w:bookmarkEnd w:id="15"/>
    </w:p>
    <w:p w:rsidR="00872041" w:rsidRPr="00D97163" w:rsidRDefault="00872041" w:rsidP="00872041">
      <w:pPr>
        <w:numPr>
          <w:ilvl w:val="0"/>
          <w:numId w:val="1"/>
        </w:numPr>
        <w:tabs>
          <w:tab w:val="left" w:pos="426"/>
        </w:tabs>
        <w:spacing w:after="160" w:line="259" w:lineRule="auto"/>
        <w:ind w:left="142" w:right="-1" w:hanging="142"/>
        <w:contextualSpacing/>
        <w:rPr>
          <w:rFonts w:eastAsia="Times New Roman" w:cs="Times New Roman"/>
          <w:szCs w:val="24"/>
        </w:rPr>
      </w:pPr>
      <w:bookmarkStart w:id="16" w:name="_Ref404953101"/>
      <w:bookmarkStart w:id="17" w:name="_Ref10383255"/>
      <w:r w:rsidRPr="00D97163">
        <w:rPr>
          <w:rFonts w:eastAsia="Times New Roman" w:cs="Times New Roman"/>
          <w:szCs w:val="24"/>
        </w:rPr>
        <w:t>Заключение Государственной комиссии о качестве проектирования и строительства жилых и общественных зданий массовых серий в северных районах Армянской ССР, причины их разрушения и предложения по совершенствованию практики проектирования и строительства в районах с повышенной сейсмичностью [Текст]</w:t>
      </w:r>
      <w:bookmarkEnd w:id="16"/>
      <w:r w:rsidRPr="00D97163">
        <w:rPr>
          <w:rFonts w:eastAsia="Times New Roman" w:cs="Times New Roman"/>
          <w:szCs w:val="24"/>
        </w:rPr>
        <w:t>. – М., 1989. – 99 с.</w:t>
      </w:r>
      <w:bookmarkEnd w:id="17"/>
    </w:p>
    <w:p w:rsidR="00872041" w:rsidRPr="00D97163" w:rsidRDefault="00872041" w:rsidP="00872041">
      <w:pPr>
        <w:numPr>
          <w:ilvl w:val="0"/>
          <w:numId w:val="1"/>
        </w:numPr>
        <w:tabs>
          <w:tab w:val="left" w:pos="426"/>
        </w:tabs>
        <w:spacing w:after="160" w:line="259" w:lineRule="auto"/>
        <w:ind w:left="142" w:right="-1" w:hanging="142"/>
        <w:contextualSpacing/>
        <w:rPr>
          <w:rFonts w:eastAsia="Times New Roman" w:cs="Times New Roman"/>
          <w:szCs w:val="24"/>
        </w:rPr>
      </w:pPr>
      <w:bookmarkStart w:id="18" w:name="_Ref10384450"/>
      <w:r w:rsidRPr="00D97163">
        <w:rPr>
          <w:rFonts w:eastAsia="Times New Roman" w:cs="Times New Roman"/>
          <w:szCs w:val="24"/>
        </w:rPr>
        <w:t xml:space="preserve">Жарницкий, В.И. </w:t>
      </w:r>
      <w:bookmarkEnd w:id="18"/>
      <w:r w:rsidRPr="00D97163">
        <w:rPr>
          <w:rFonts w:eastAsia="Times New Roman" w:cs="Times New Roman"/>
          <w:szCs w:val="24"/>
        </w:rPr>
        <w:t>Сейсмостойкость железобетонных конструкций с учетом процесса развития повреждений [Текст] / В.И. Жарницкий, М.А. Алипур // Научно-технический журнал Вестник МГСУ. – 2011. - №2. Т. 1. – С. 110-115.</w:t>
      </w:r>
    </w:p>
    <w:p w:rsidR="00686762" w:rsidRPr="00660256" w:rsidRDefault="00686762" w:rsidP="00660256">
      <w:pPr>
        <w:rPr>
          <w:rFonts w:cs="Times New Roman"/>
          <w:szCs w:val="24"/>
        </w:rPr>
      </w:pPr>
    </w:p>
    <w:sectPr w:rsidR="00686762" w:rsidRPr="00660256" w:rsidSect="00872041">
      <w:footerReference w:type="default" r:id="rId18"/>
      <w:pgSz w:w="11906" w:h="16838"/>
      <w:pgMar w:top="1418" w:right="851" w:bottom="1134"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827" w:rsidRDefault="00130827" w:rsidP="00872041">
      <w:pPr>
        <w:spacing w:line="240" w:lineRule="auto"/>
      </w:pPr>
      <w:r>
        <w:separator/>
      </w:r>
    </w:p>
  </w:endnote>
  <w:endnote w:type="continuationSeparator" w:id="0">
    <w:p w:rsidR="00130827" w:rsidRDefault="00130827" w:rsidP="00872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03147"/>
      <w:docPartObj>
        <w:docPartGallery w:val="Page Numbers (Bottom of Page)"/>
        <w:docPartUnique/>
      </w:docPartObj>
    </w:sdtPr>
    <w:sdtEndPr/>
    <w:sdtContent>
      <w:p w:rsidR="00872041" w:rsidRDefault="00872041" w:rsidP="006171FB">
        <w:pPr>
          <w:pStyle w:val="a7"/>
          <w:tabs>
            <w:tab w:val="clear" w:pos="4677"/>
            <w:tab w:val="clear" w:pos="9355"/>
          </w:tabs>
          <w:ind w:firstLine="0"/>
          <w:jc w:val="center"/>
        </w:pPr>
        <w:r>
          <w:fldChar w:fldCharType="begin"/>
        </w:r>
        <w:r>
          <w:instrText>PAGE   \* MERGEFORMAT</w:instrText>
        </w:r>
        <w:r>
          <w:fldChar w:fldCharType="separate"/>
        </w:r>
        <w:r w:rsidR="00A9130E">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827" w:rsidRDefault="00130827" w:rsidP="00872041">
      <w:pPr>
        <w:spacing w:line="240" w:lineRule="auto"/>
      </w:pPr>
      <w:r>
        <w:separator/>
      </w:r>
    </w:p>
  </w:footnote>
  <w:footnote w:type="continuationSeparator" w:id="0">
    <w:p w:rsidR="00130827" w:rsidRDefault="00130827" w:rsidP="008720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45B9B"/>
    <w:multiLevelType w:val="hybridMultilevel"/>
    <w:tmpl w:val="47283CD2"/>
    <w:lvl w:ilvl="0" w:tplc="CA8CEE3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41"/>
    <w:rsid w:val="00130827"/>
    <w:rsid w:val="00376294"/>
    <w:rsid w:val="006171FB"/>
    <w:rsid w:val="00660256"/>
    <w:rsid w:val="00686762"/>
    <w:rsid w:val="00872041"/>
    <w:rsid w:val="00A9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41"/>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04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041"/>
    <w:rPr>
      <w:rFonts w:ascii="Tahoma" w:eastAsiaTheme="minorHAnsi" w:hAnsi="Tahoma" w:cs="Tahoma"/>
      <w:sz w:val="16"/>
      <w:szCs w:val="16"/>
      <w:lang w:eastAsia="en-US"/>
    </w:rPr>
  </w:style>
  <w:style w:type="paragraph" w:styleId="a5">
    <w:name w:val="header"/>
    <w:basedOn w:val="a"/>
    <w:link w:val="a6"/>
    <w:uiPriority w:val="99"/>
    <w:unhideWhenUsed/>
    <w:rsid w:val="00872041"/>
    <w:pPr>
      <w:tabs>
        <w:tab w:val="center" w:pos="4677"/>
        <w:tab w:val="right" w:pos="9355"/>
      </w:tabs>
      <w:spacing w:line="240" w:lineRule="auto"/>
    </w:pPr>
  </w:style>
  <w:style w:type="character" w:customStyle="1" w:styleId="a6">
    <w:name w:val="Верхний колонтитул Знак"/>
    <w:basedOn w:val="a0"/>
    <w:link w:val="a5"/>
    <w:uiPriority w:val="99"/>
    <w:rsid w:val="00872041"/>
    <w:rPr>
      <w:rFonts w:ascii="Times New Roman" w:eastAsiaTheme="minorHAnsi" w:hAnsi="Times New Roman"/>
      <w:sz w:val="24"/>
      <w:lang w:eastAsia="en-US"/>
    </w:rPr>
  </w:style>
  <w:style w:type="paragraph" w:styleId="a7">
    <w:name w:val="footer"/>
    <w:basedOn w:val="a"/>
    <w:link w:val="a8"/>
    <w:uiPriority w:val="99"/>
    <w:unhideWhenUsed/>
    <w:rsid w:val="00872041"/>
    <w:pPr>
      <w:tabs>
        <w:tab w:val="center" w:pos="4677"/>
        <w:tab w:val="right" w:pos="9355"/>
      </w:tabs>
      <w:spacing w:line="240" w:lineRule="auto"/>
    </w:pPr>
  </w:style>
  <w:style w:type="character" w:customStyle="1" w:styleId="a8">
    <w:name w:val="Нижний колонтитул Знак"/>
    <w:basedOn w:val="a0"/>
    <w:link w:val="a7"/>
    <w:uiPriority w:val="99"/>
    <w:rsid w:val="00872041"/>
    <w:rPr>
      <w:rFonts w:ascii="Times New Roman" w:eastAsiaTheme="minorHAnsi"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41"/>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04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041"/>
    <w:rPr>
      <w:rFonts w:ascii="Tahoma" w:eastAsiaTheme="minorHAnsi" w:hAnsi="Tahoma" w:cs="Tahoma"/>
      <w:sz w:val="16"/>
      <w:szCs w:val="16"/>
      <w:lang w:eastAsia="en-US"/>
    </w:rPr>
  </w:style>
  <w:style w:type="paragraph" w:styleId="a5">
    <w:name w:val="header"/>
    <w:basedOn w:val="a"/>
    <w:link w:val="a6"/>
    <w:uiPriority w:val="99"/>
    <w:unhideWhenUsed/>
    <w:rsid w:val="00872041"/>
    <w:pPr>
      <w:tabs>
        <w:tab w:val="center" w:pos="4677"/>
        <w:tab w:val="right" w:pos="9355"/>
      </w:tabs>
      <w:spacing w:line="240" w:lineRule="auto"/>
    </w:pPr>
  </w:style>
  <w:style w:type="character" w:customStyle="1" w:styleId="a6">
    <w:name w:val="Верхний колонтитул Знак"/>
    <w:basedOn w:val="a0"/>
    <w:link w:val="a5"/>
    <w:uiPriority w:val="99"/>
    <w:rsid w:val="00872041"/>
    <w:rPr>
      <w:rFonts w:ascii="Times New Roman" w:eastAsiaTheme="minorHAnsi" w:hAnsi="Times New Roman"/>
      <w:sz w:val="24"/>
      <w:lang w:eastAsia="en-US"/>
    </w:rPr>
  </w:style>
  <w:style w:type="paragraph" w:styleId="a7">
    <w:name w:val="footer"/>
    <w:basedOn w:val="a"/>
    <w:link w:val="a8"/>
    <w:uiPriority w:val="99"/>
    <w:unhideWhenUsed/>
    <w:rsid w:val="00872041"/>
    <w:pPr>
      <w:tabs>
        <w:tab w:val="center" w:pos="4677"/>
        <w:tab w:val="right" w:pos="9355"/>
      </w:tabs>
      <w:spacing w:line="240" w:lineRule="auto"/>
    </w:pPr>
  </w:style>
  <w:style w:type="character" w:customStyle="1" w:styleId="a8">
    <w:name w:val="Нижний колонтитул Знак"/>
    <w:basedOn w:val="a0"/>
    <w:link w:val="a7"/>
    <w:uiPriority w:val="99"/>
    <w:rsid w:val="00872041"/>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m_Umarov@list.ru" TargetMode="External"/><Relationship Id="rId13" Type="http://schemas.openxmlformats.org/officeDocument/2006/relationships/image" Target="media/image3.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2</TotalTime>
  <Pages>5</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2020-07-24T11:17:00Z</dcterms:created>
  <dcterms:modified xsi:type="dcterms:W3CDTF">2021-05-13T12:58:00Z</dcterms:modified>
</cp:coreProperties>
</file>